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7A6DD">
      <w:pPr>
        <w:pStyle w:val="Title"/>
        <w:keepNext/>
        <w:keepLines w:val="0"/>
        <w:widowControl/>
        <w:suppressLineNumbers w:val="0"/>
        <w:spacing w:before="0" w:after="0" w:line="480" w:lineRule="auto"/>
        <w:ind w:firstLine="0" w:left="0"/>
        <w:jc w:val="center"/>
      </w:pPr>
      <w:r>
        <w:rPr>
          <w:rFonts w:ascii="Times New Roman" w:hAnsi="Times New Roman" w:eastAsia="Times New Roman" w:cs="Times New Roman"/>
          <w:b/>
          <w:i w:val="0"/>
          <w:color w:val="000000"/>
          <w:sz w:val="24"/>
        </w:rPr>
        <w:t>The Limited Ethical Legitimacy of AI Drone Strikes</w:t>
      </w:r>
    </w:p>
    <w:p w14:paraId="5B62F6D8">
      <w:pPr>
        <w:keepNext w:val="0"/>
        <w:keepLines w:val="0"/>
        <w:widowControl/>
        <w:suppressLineNumbers w:val="0"/>
        <w:spacing w:before="0" w:after="0" w:line="480" w:lineRule="auto"/>
        <w:ind w:firstLine="720" w:left="0"/>
        <w:jc w:val="left"/>
      </w:pPr>
      <w:r>
        <w:rPr>
          <w:rFonts w:ascii="Times New Roman" w:hAnsi="Times New Roman" w:eastAsia="Times New Roman" w:cs="Times New Roman"/>
          <w:color w:val="000000"/>
          <w:sz w:val="24"/>
        </w:rPr>
        <w:t>AI-enabled drones may reduce military casualties and, under some conditions, identify targets more accurately than human operators. However, the factual claim that a technology can reduce casualties does not by itself establish the normative conclusion that it should conduct lethal strikes. This is an instance of the is-ought problem: an additional moral principle is required to move from technological performance to ethical legitimacy (Kwok, 2026a). A justification must therefore weigh the possible reduction of harm against algorithmic error, the attribution of responsibility, and the ability of technology to reshape human judgment. This essay argues that AI may ethically assist military decision-making, but its legitimacy remains limited because the final authority to use lethal force must remain with accountable human agents.</w:t>
      </w:r>
    </w:p>
    <w:p w14:paraId="761ECCED">
      <w:pPr>
        <w:keepNext w:val="0"/>
        <w:keepLines w:val="0"/>
        <w:widowControl/>
        <w:suppressLineNumbers w:val="0"/>
        <w:spacing w:before="0" w:after="0" w:line="480" w:lineRule="auto"/>
        <w:ind w:firstLine="720" w:left="0"/>
        <w:jc w:val="left"/>
      </w:pPr>
      <w:r>
        <w:rPr>
          <w:rFonts w:ascii="Times New Roman" w:hAnsi="Times New Roman" w:eastAsia="Times New Roman" w:cs="Times New Roman"/>
          <w:color w:val="000000"/>
          <w:sz w:val="24"/>
        </w:rPr>
        <w:t xml:space="preserve">From a utilitarian perspective, AI drone strikes may appear justified because they could minimize harm and increase overall welfare. If an AI system can reliably distinguish military targets from civilians more accurately than a fatigued human operator, its use could prevent avoidable deaths. Nevertheless, the calculation cannot be confined to one successful strike. Rule utilitarianism requires </w:t>
      </w:r>
      <w:bookmarkStart w:id="0" w:name="_GoBack"/>
      <w:bookmarkEnd w:id="0"/>
      <w:r>
        <w:rPr>
          <w:rFonts w:ascii="Times New Roman" w:hAnsi="Times New Roman" w:eastAsia="Times New Roman" w:cs="Times New Roman"/>
          <w:color w:val="000000"/>
          <w:sz w:val="24"/>
        </w:rPr>
        <w:t>consideration of the broader consequences of permitting armed forces to delegate lethal decisions to algorithms (Kwok, 2026a). These consequences may include biased training data, adversarial manipulation, unpredictable failures, and the replication of one technical error across many operations. Drones may also lower the political threshold for initiating military action because fewer domestic soldiers are directly at risk. A technology that reduces casualties in individual attacks could therefore contribute to more frequent intervention and greater long-term suffering. Since these effects are difficult to predict, higher average recognition accuracy alone cannot prove that autonomous killing maximizes welfare.</w:t>
      </w:r>
    </w:p>
    <w:p w14:paraId="51A1D3E7">
      <w:pPr>
        <w:keepNext w:val="0"/>
        <w:keepLines w:val="0"/>
        <w:widowControl/>
        <w:suppressLineNumbers w:val="0"/>
        <w:spacing w:before="0" w:after="0" w:line="480" w:lineRule="auto"/>
        <w:ind w:firstLine="720" w:left="0"/>
        <w:jc w:val="left"/>
      </w:pPr>
      <w:r>
        <w:rPr>
          <w:rFonts w:ascii="Times New Roman" w:hAnsi="Times New Roman" w:eastAsia="Times New Roman" w:cs="Times New Roman"/>
          <w:color w:val="000000"/>
          <w:sz w:val="24"/>
        </w:rPr>
        <w:t>Kantian deontology imposes a more fundamental constraint. A principle of action is morally permissible only if rational agents could will it as a universal law, and persons must never be treated merely as means (Kant, 1981). When an AI drone classifies someone as a target through data patterns and probability scores, it risks reducing that person to a calculable object. Even if the individual is believed to be a combatant, human dignity cannot be replaced by a model's confidence score. A reduction in aggregate casualties therefore does not automatically override obligations owed to individuals. Moreover, moral agency requires rational judgment and freedom (Kwok, 2026a). AI can process information but cannot understand the value of life, experience guilt, or accept punishment. If designers, operators, commanders, and governments attribute a wrongful death to the system's autonomy, a responsibility gap emerges. Ethical deployment consequently requires responsibility to be assigned in advance to identifiable people and institutions rather than transferred to the machine after harm occurs.</w:t>
      </w:r>
    </w:p>
    <w:p w14:paraId="1E6C0D70">
      <w:pPr>
        <w:keepNext w:val="0"/>
        <w:keepLines w:val="0"/>
        <w:widowControl/>
        <w:suppressLineNumbers w:val="0"/>
        <w:spacing w:before="0" w:after="0" w:line="480" w:lineRule="auto"/>
        <w:ind w:firstLine="720" w:left="0"/>
        <w:jc w:val="left"/>
      </w:pPr>
      <w:r>
        <w:rPr>
          <w:rFonts w:ascii="Times New Roman" w:hAnsi="Times New Roman" w:eastAsia="Times New Roman" w:cs="Times New Roman"/>
          <w:color w:val="000000"/>
          <w:sz w:val="24"/>
        </w:rPr>
        <w:t>The value-alignment problem provides another reason to reject fully autonomous lethal action. An AI system may execute a literal objective without understanding its moral purpose. For example, a command to “neutralize threats” does not tell the system how to respond to uncertainty, conflicting evidence, surrender, or nearby civilians. The system may optimize measurable indicators while overlooking morally relevant features absent from its training data. Human-compatible AI should remain uncertain about human values and obtain information from human behavior (Kwok, 2026a). In warfare, however, human behavior may itself be inconsistent or biased. Human oversight must therefore involve more than pressing an approval button. Operators need sufficient information, time, authority, and technical understanding to question recommendations, request further evidence, or cancel a strike.</w:t>
      </w:r>
    </w:p>
    <w:p w14:paraId="7FC37167">
      <w:pPr>
        <w:keepNext w:val="0"/>
        <w:keepLines w:val="0"/>
        <w:widowControl/>
        <w:suppressLineNumbers w:val="0"/>
        <w:spacing w:before="0" w:after="0" w:line="480" w:lineRule="auto"/>
        <w:ind w:firstLine="720" w:left="0"/>
        <w:jc w:val="left"/>
      </w:pPr>
      <w:r>
        <w:rPr>
          <w:rFonts w:ascii="Times New Roman" w:hAnsi="Times New Roman" w:eastAsia="Times New Roman" w:cs="Times New Roman"/>
          <w:color w:val="000000"/>
          <w:sz w:val="24"/>
        </w:rPr>
        <w:t>The philosophy of technology further shows why drones are not value-neutral tools. Heidegger argues that technology is not merely a means but a way in which the world is revealed (Heidegger, 1982). On an AI-drone interface, living persons appear as coordinates, heat signatures, confidence scores, or targets to be eliminated. The danger is not only misidentification, but also that this perspective may normalize treating human life as a resource-management problem. Ihde's account of human-technology-world relations likewise suggests that people do not perceive the battlefield independently of the technologies through which it is presented (Ihde, 1990). Sensors and algorithms determine what becomes visible or suspicious before an operator decides. Thus, even when a human presses the final button, control is not meaningful if the operator merely approves evidence already selected and framed by the system. Technology does not simply execute decisions; it helps constitute the reality on which those decisions are based.</w:t>
      </w:r>
    </w:p>
    <w:p w14:paraId="21B3A047">
      <w:pPr>
        <w:keepNext w:val="0"/>
        <w:keepLines w:val="0"/>
        <w:widowControl/>
        <w:suppressLineNumbers w:val="0"/>
        <w:spacing w:before="0" w:after="0" w:line="480" w:lineRule="auto"/>
        <w:ind w:firstLine="720" w:left="0"/>
        <w:jc w:val="left"/>
      </w:pPr>
      <w:r>
        <w:rPr>
          <w:rFonts w:ascii="Times New Roman" w:hAnsi="Times New Roman" w:eastAsia="Times New Roman" w:cs="Times New Roman"/>
          <w:color w:val="000000"/>
          <w:sz w:val="24"/>
        </w:rPr>
        <w:t>Supporters may object that soldiers also make mistakes because of fatigue, fear, or prejudice, while a tested AI system might produce fewer targeting errors. This objection explains why a complete prohibition of military AI would be too strong. AI may appropriately analyze information, detect threats, and warn operators of inconsistencies. However, superior performance in some tasks does not grant a machine moral authority to decide who may be killed. The correct comparison is between an autonomous machine and a human-AI process that combines computational assistance with human responsibility, contextual interpretation, and the possibility of moral refusal.</w:t>
      </w:r>
    </w:p>
    <w:p w14:paraId="08B4E89D">
      <w:pPr>
        <w:keepNext w:val="0"/>
        <w:keepLines w:val="0"/>
        <w:widowControl/>
        <w:suppressLineNumbers w:val="0"/>
        <w:spacing w:before="0" w:after="0" w:line="480" w:lineRule="auto"/>
        <w:ind w:firstLine="720" w:left="0"/>
        <w:jc w:val="left"/>
      </w:pPr>
      <w:r>
        <w:rPr>
          <w:rFonts w:ascii="Times New Roman" w:hAnsi="Times New Roman" w:eastAsia="Times New Roman" w:cs="Times New Roman"/>
          <w:color w:val="000000"/>
          <w:sz w:val="24"/>
        </w:rPr>
        <w:t>This framework also requires independent testing, secure audit records, conservative confidence thresholds, and procedures for investigating mistakes and compensating victims. Without these safeguards, nominal human supervision may merely legitimize decisions already made by the system.</w:t>
      </w:r>
    </w:p>
    <w:p w14:paraId="1D37E54A">
      <w:pPr>
        <w:keepNext w:val="0"/>
        <w:keepLines w:val="0"/>
        <w:widowControl/>
        <w:suppressLineNumbers w:val="0"/>
        <w:spacing w:before="0" w:after="0" w:line="480" w:lineRule="auto"/>
        <w:ind w:firstLine="720" w:left="0"/>
        <w:jc w:val="left"/>
      </w:pPr>
      <w:r>
        <w:rPr>
          <w:rFonts w:ascii="Times New Roman" w:hAnsi="Times New Roman" w:eastAsia="Times New Roman" w:cs="Times New Roman"/>
          <w:color w:val="000000"/>
          <w:sz w:val="24"/>
        </w:rPr>
        <w:t>AI-enabled drones are therefore not inherently impermissible, but systems that independently select and kill targets lack sufficient ethical legitimacy. Drone strikes may receive limited permission only when AI assists rather than replaces human judgment, decisions are explainable, responsibility is clearly allocated, and a human decision-maker can reject the system's recommendation. When uncertainty is substantial or meaningful human control cannot be maintained, the strike should not proceed.</w:t>
      </w:r>
    </w:p>
    <w:p w14:paraId="74983FA2">
      <w:pPr>
        <w:pStyle w:val="Heading1"/>
        <w:keepNext/>
        <w:keepLines w:val="0"/>
        <w:widowControl/>
        <w:suppressLineNumbers w:val="0"/>
        <w:spacing w:before="0" w:after="0" w:line="480" w:lineRule="auto"/>
        <w:ind w:firstLine="0" w:left="0"/>
        <w:jc w:val="center"/>
      </w:pPr>
      <w:r>
        <w:rPr>
          <w:rFonts w:ascii="Times New Roman" w:hAnsi="Times New Roman" w:eastAsia="Times New Roman" w:cs="Times New Roman"/>
          <w:b/>
          <w:i w:val="0"/>
          <w:color w:val="000000"/>
          <w:sz w:val="24"/>
        </w:rPr>
        <w:t>Generative AI Use Disclosure</w:t>
      </w:r>
    </w:p>
    <w:p w14:paraId="034C996C">
      <w:pPr>
        <w:keepNext w:val="0"/>
        <w:keepLines w:val="0"/>
        <w:widowControl/>
        <w:suppressLineNumbers w:val="0"/>
        <w:spacing w:before="0" w:after="0" w:line="480" w:lineRule="auto"/>
        <w:ind w:firstLine="720" w:left="0"/>
        <w:jc w:val="left"/>
      </w:pPr>
      <w:r>
        <w:rPr>
          <w:rFonts w:ascii="Times New Roman" w:hAnsi="Times New Roman" w:eastAsia="Times New Roman" w:cs="Times New Roman"/>
          <w:color w:val="000000"/>
          <w:sz w:val="24"/>
        </w:rPr>
        <w:t>ChatGPT (OpenAI, 2025) was used for idea brainstorming and linguistic polishing; all arguments and analysis are my original work.</w:t>
      </w:r>
    </w:p>
    <w:p w14:paraId="69919975">
      <w:pPr>
        <w:pStyle w:val="Heading1"/>
        <w:keepNext/>
        <w:keepLines w:val="0"/>
        <w:pageBreakBefore/>
        <w:widowControl/>
        <w:suppressLineNumbers w:val="0"/>
        <w:spacing w:before="0" w:after="0" w:line="480" w:lineRule="auto"/>
        <w:ind w:firstLine="0" w:left="0"/>
        <w:jc w:val="center"/>
      </w:pPr>
      <w:r>
        <w:rPr>
          <w:rFonts w:ascii="Times New Roman" w:hAnsi="Times New Roman" w:eastAsia="Times New Roman" w:cs="Times New Roman"/>
          <w:b/>
          <w:i w:val="0"/>
          <w:color w:val="000000"/>
          <w:sz w:val="24"/>
        </w:rPr>
        <w:t>References</w:t>
      </w:r>
    </w:p>
    <w:p w14:paraId="3C831DE5">
      <w:pPr>
        <w:pStyle w:val="References"/>
        <w:keepNext w:val="0"/>
        <w:keepLines w:val="0"/>
        <w:widowControl/>
        <w:suppressLineNumbers w:val="0"/>
        <w:spacing w:before="0" w:after="0" w:line="480" w:lineRule="auto"/>
        <w:ind w:hanging="720" w:left="720"/>
        <w:jc w:val="left"/>
      </w:pPr>
      <w:r>
        <w:rPr>
          <w:rFonts w:ascii="Times New Roman" w:hAnsi="Times New Roman" w:eastAsia="Times New Roman" w:cs="Times New Roman"/>
          <w:i w:val="0"/>
          <w:color w:val="000000"/>
          <w:sz w:val="24"/>
        </w:rPr>
        <w:t xml:space="preserve">Heidegger, M. (1982). </w:t>
      </w:r>
      <w:r>
        <w:rPr>
          <w:rStyle w:val="5"/>
          <w:rFonts w:ascii="Times New Roman" w:hAnsi="Times New Roman" w:eastAsia="Times New Roman" w:cs="Times New Roman"/>
          <w:i/>
          <w:color w:val="000000"/>
          <w:sz w:val="24"/>
        </w:rPr>
        <w:t>The question concerning technology</w:t>
      </w:r>
      <w:r>
        <w:rPr>
          <w:rFonts w:ascii="Times New Roman" w:hAnsi="Times New Roman" w:eastAsia="Times New Roman" w:cs="Times New Roman"/>
          <w:i w:val="0"/>
          <w:color w:val="000000"/>
          <w:sz w:val="24"/>
        </w:rPr>
        <w:t>. Harper &amp; Row.</w:t>
      </w:r>
    </w:p>
    <w:p w14:paraId="42EECA42">
      <w:pPr>
        <w:pStyle w:val="References"/>
        <w:keepNext w:val="0"/>
        <w:keepLines w:val="0"/>
        <w:widowControl/>
        <w:suppressLineNumbers w:val="0"/>
        <w:spacing w:before="0" w:after="0" w:line="480" w:lineRule="auto"/>
        <w:ind w:hanging="720" w:left="720"/>
        <w:jc w:val="left"/>
      </w:pPr>
      <w:r>
        <w:rPr>
          <w:rFonts w:ascii="Times New Roman" w:hAnsi="Times New Roman" w:eastAsia="Times New Roman" w:cs="Times New Roman"/>
          <w:i w:val="0"/>
          <w:color w:val="000000"/>
          <w:sz w:val="24"/>
        </w:rPr>
        <w:t xml:space="preserve">Ihde, D. (1990). </w:t>
      </w:r>
      <w:r>
        <w:rPr>
          <w:rStyle w:val="5"/>
          <w:rFonts w:ascii="Times New Roman" w:hAnsi="Times New Roman" w:eastAsia="Times New Roman" w:cs="Times New Roman"/>
          <w:i/>
          <w:color w:val="000000"/>
          <w:sz w:val="24"/>
        </w:rPr>
        <w:t>Technology and the lifeworld: From garden to earth</w:t>
      </w:r>
      <w:r>
        <w:rPr>
          <w:rFonts w:ascii="Times New Roman" w:hAnsi="Times New Roman" w:eastAsia="Times New Roman" w:cs="Times New Roman"/>
          <w:i w:val="0"/>
          <w:color w:val="000000"/>
          <w:sz w:val="24"/>
        </w:rPr>
        <w:t>. Indiana University Press.</w:t>
      </w:r>
    </w:p>
    <w:p w14:paraId="3954BC6F">
      <w:pPr>
        <w:pStyle w:val="References"/>
        <w:keepNext w:val="0"/>
        <w:keepLines w:val="0"/>
        <w:widowControl/>
        <w:suppressLineNumbers w:val="0"/>
        <w:spacing w:before="0" w:after="0" w:line="480" w:lineRule="auto"/>
        <w:ind w:hanging="720" w:left="720"/>
        <w:jc w:val="left"/>
      </w:pPr>
      <w:r>
        <w:rPr>
          <w:rFonts w:ascii="Times New Roman" w:hAnsi="Times New Roman" w:eastAsia="Times New Roman" w:cs="Times New Roman"/>
          <w:i w:val="0"/>
          <w:color w:val="000000"/>
          <w:sz w:val="24"/>
        </w:rPr>
        <w:t xml:space="preserve">Kant, I. (1981). </w:t>
      </w:r>
      <w:r>
        <w:rPr>
          <w:rStyle w:val="5"/>
          <w:rFonts w:ascii="Times New Roman" w:hAnsi="Times New Roman" w:eastAsia="Times New Roman" w:cs="Times New Roman"/>
          <w:i/>
          <w:color w:val="000000"/>
          <w:sz w:val="24"/>
        </w:rPr>
        <w:t>Grounding for the metaphysics of morals</w:t>
      </w:r>
      <w:r>
        <w:rPr>
          <w:rFonts w:ascii="Times New Roman" w:hAnsi="Times New Roman" w:eastAsia="Times New Roman" w:cs="Times New Roman"/>
          <w:i w:val="0"/>
          <w:color w:val="000000"/>
          <w:sz w:val="24"/>
        </w:rPr>
        <w:t xml:space="preserve"> (J. W. Ellington, Trans.). Hackett Publishing.</w:t>
      </w:r>
    </w:p>
    <w:p w14:paraId="6B1A5AAC">
      <w:pPr>
        <w:pStyle w:val="References"/>
        <w:keepNext w:val="0"/>
        <w:keepLines w:val="0"/>
        <w:widowControl/>
        <w:suppressLineNumbers w:val="0"/>
        <w:spacing w:before="0" w:after="0" w:line="480" w:lineRule="auto"/>
        <w:ind w:hanging="720" w:left="720"/>
        <w:jc w:val="left"/>
      </w:pPr>
      <w:r>
        <w:rPr>
          <w:rFonts w:ascii="Times New Roman" w:hAnsi="Times New Roman" w:eastAsia="Times New Roman" w:cs="Times New Roman"/>
          <w:i w:val="0"/>
          <w:color w:val="000000"/>
          <w:sz w:val="24"/>
        </w:rPr>
        <w:t xml:space="preserve">Kwok, S. H. (2026a). </w:t>
      </w:r>
      <w:r>
        <w:rPr>
          <w:rStyle w:val="5"/>
          <w:rFonts w:ascii="Times New Roman" w:hAnsi="Times New Roman" w:eastAsia="Times New Roman" w:cs="Times New Roman"/>
          <w:i/>
          <w:color w:val="000000"/>
          <w:sz w:val="24"/>
        </w:rPr>
        <w:t>Week 8: The philosophical foundations of AI ethics (moral philosophy)</w:t>
      </w:r>
      <w:r>
        <w:rPr>
          <w:rFonts w:ascii="Times New Roman" w:hAnsi="Times New Roman" w:eastAsia="Times New Roman" w:cs="Times New Roman"/>
          <w:i w:val="0"/>
          <w:color w:val="000000"/>
          <w:sz w:val="24"/>
        </w:rPr>
        <w:t xml:space="preserve"> [PowerPoint slides]. AI6101, Nanyang Technological University.</w:t>
      </w:r>
    </w:p>
    <w:p w14:paraId="086E0965">
      <w:pPr>
        <w:pStyle w:val="References"/>
        <w:keepNext w:val="0"/>
        <w:keepLines w:val="0"/>
        <w:widowControl/>
        <w:suppressLineNumbers w:val="0"/>
        <w:spacing w:before="0" w:after="0" w:line="480" w:lineRule="auto"/>
        <w:ind w:hanging="720" w:left="720"/>
        <w:jc w:val="left"/>
      </w:pPr>
      <w:r>
        <w:rPr>
          <w:rFonts w:ascii="Times New Roman" w:hAnsi="Times New Roman" w:eastAsia="Times New Roman" w:cs="Times New Roman"/>
          <w:i w:val="0"/>
          <w:color w:val="000000"/>
          <w:sz w:val="24"/>
        </w:rPr>
        <w:t xml:space="preserve">Kwok, S. H. (2026b). </w:t>
      </w:r>
      <w:r>
        <w:rPr>
          <w:rStyle w:val="5"/>
          <w:rFonts w:ascii="Times New Roman" w:hAnsi="Times New Roman" w:eastAsia="Times New Roman" w:cs="Times New Roman"/>
          <w:i/>
          <w:color w:val="000000"/>
          <w:sz w:val="24"/>
        </w:rPr>
        <w:t>Week 9: The philosophical foundations of AI ethics (philosophy of technology)</w:t>
      </w:r>
      <w:r>
        <w:rPr>
          <w:rFonts w:ascii="Times New Roman" w:hAnsi="Times New Roman" w:eastAsia="Times New Roman" w:cs="Times New Roman"/>
          <w:i w:val="0"/>
          <w:color w:val="000000"/>
          <w:sz w:val="24"/>
        </w:rPr>
        <w:t xml:space="preserve"> [PowerPoint slides]. AI6101, Nanyang Technological University.</w:t>
      </w:r>
    </w:p>
    <w:p w14:paraId="0954C717">
      <w:pPr>
        <w:pStyle w:val="References"/>
        <w:keepNext w:val="0"/>
        <w:keepLines w:val="0"/>
        <w:widowControl/>
        <w:suppressLineNumbers w:val="0"/>
        <w:spacing w:before="0" w:after="0" w:line="480" w:lineRule="auto"/>
        <w:ind w:hanging="720" w:left="720"/>
        <w:jc w:val="left"/>
      </w:pPr>
      <w:r>
        <w:rPr>
          <w:rFonts w:ascii="Times New Roman" w:hAnsi="Times New Roman" w:eastAsia="Times New Roman" w:cs="Times New Roman"/>
          <w:i w:val="0"/>
          <w:color w:val="000000"/>
          <w:sz w:val="24"/>
        </w:rPr>
        <w:t xml:space="preserve">OpenAI. (2025). </w:t>
      </w:r>
      <w:r>
        <w:rPr>
          <w:rStyle w:val="5"/>
          <w:rFonts w:ascii="Times New Roman" w:hAnsi="Times New Roman" w:eastAsia="Times New Roman" w:cs="Times New Roman"/>
          <w:i/>
          <w:color w:val="000000"/>
          <w:sz w:val="24"/>
        </w:rPr>
        <w:t>ChatGPT</w:t>
      </w:r>
      <w:r>
        <w:rPr>
          <w:rFonts w:ascii="Times New Roman" w:hAnsi="Times New Roman" w:eastAsia="Times New Roman" w:cs="Times New Roman"/>
          <w:i w:val="0"/>
          <w:color w:val="000000"/>
          <w:sz w:val="24"/>
        </w:rPr>
        <w:t xml:space="preserve"> [Large language model]. </w:t>
      </w:r>
      <w:r>
        <w:rPr>
          <w:rFonts w:ascii="Times New Roman" w:hAnsi="Times New Roman" w:eastAsia="Times New Roman" w:cs="Times New Roman"/>
          <w:i w:val="0"/>
          <w:color w:val="000000"/>
          <w:sz w:val="24"/>
        </w:rPr>
        <w:fldChar w:fldCharType="begin"/>
      </w:r>
      <w:r>
        <w:rPr>
          <w:rFonts w:ascii="Times New Roman" w:hAnsi="Times New Roman" w:eastAsia="Times New Roman" w:cs="Times New Roman"/>
          <w:i w:val="0"/>
          <w:color w:val="000000"/>
          <w:sz w:val="24"/>
        </w:rPr>
        <w:instrText xml:space="preserve"> HYPERLINK "https://chatgpt.com/" </w:instrText>
      </w:r>
      <w:r>
        <w:rPr>
          <w:rFonts w:ascii="Times New Roman" w:hAnsi="Times New Roman" w:eastAsia="Times New Roman" w:cs="Times New Roman"/>
          <w:i w:val="0"/>
          <w:color w:val="000000"/>
          <w:sz w:val="24"/>
        </w:rPr>
        <w:fldChar w:fldCharType="separate"/>
      </w:r>
      <w:r>
        <w:rPr>
          <w:rStyle w:val="6"/>
          <w:rFonts w:ascii="Times New Roman" w:hAnsi="Times New Roman" w:eastAsia="Times New Roman" w:cs="Times New Roman"/>
          <w:i w:val="0"/>
          <w:color w:val="000000"/>
          <w:sz w:val="24"/>
        </w:rPr>
        <w:t>https://chatgpt.com/</w:t>
      </w:r>
      <w:r>
        <w:rPr>
          <w:rFonts w:ascii="Times New Roman" w:hAnsi="Times New Roman" w:eastAsia="Times New Roman" w:cs="Times New Roman"/>
          <w:i w:val="0"/>
          <w:color w:val="000000"/>
          <w:sz w:val="24"/>
        </w:rPr>
        <w:fldChar w:fldCharType="end"/>
      </w:r>
    </w:p>
    <w:p w14:paraId="426C0858"/>
    <w:sectPr>
      <w:headerReference w:type="default" r:id="rId5"/>
      <w:pgSz w:w="11906" w:h="16838"/>
      <w:pgMar w:top="1440" w:right="1440" w:bottom="1440" w:left="1440" w:header="720" w:footer="72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Times New Roman" w:hAnsi="Times New Roman" w:eastAsia="Times New Roman" w:cs="Times New Roman"/>
        <w:color w:val="000000"/>
        <w:sz w:val="24"/>
      </w:rPr>
      <w:fldChar w:fldCharType="begin"/>
    </w:r>
    <w:r>
      <w:rPr>
        <w:rFonts w:ascii="Times New Roman" w:hAnsi="Times New Roman" w:eastAsia="Times New Roman" w:cs="Times New Roman"/>
        <w:color w:val="000000"/>
        <w:sz w:val="24"/>
      </w:rPr>
      <w:instrText xml:space="preserve"> PAGE </w:instrText>
    </w:r>
    <w:r>
      <w:rPr>
        <w:rFonts w:ascii="Times New Roman" w:hAnsi="Times New Roman" w:eastAsia="Times New Roman" w:cs="Times New Roman"/>
        <w:color w:val="000000"/>
        <w:sz w:val="24"/>
      </w:rPr>
      <w:t>1</w:t>
      <w:fldChar w:fldCharType="separate"/>
    </w:r>
    <w:r>
      <w:rPr>
        <w:rFonts w:ascii="Times New Roman" w:hAnsi="Times New Roman" w:eastAsia="Times New Roman" w:cs="Times New Roman"/>
        <w:color w:val="000000"/>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210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480" w:lineRule="auto"/>
      <w:ind w:firstLine="720" w:left="0" w:right="0"/>
      <w:jc w:val="left"/>
    </w:pPr>
    <w:rPr>
      <w:rFonts w:asciiTheme="minorHAnsi" w:hAnsiTheme="minorHAnsi" w:eastAsiaTheme="minorEastAsia" w:cstheme="minorBidi" w:ascii="Times New Roman" w:hAnsi="Times New Roman" w:eastAsia="Times New Roman" w:cs="Times New Roman"/>
      <w:b w:val="0"/>
      <w:i w:val="0"/>
      <w:color w:val="000000"/>
      <w:kern w:val="2"/>
      <w:sz w:val="24"/>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 w:type="character" w:styleId="6">
    <w:name w:val="Hyperlink"/>
    <w:basedOn w:val="4"/>
    <w:uiPriority w:val="0"/>
    <w:rPr>
      <w:color w:val="0000FF"/>
      <w:u w:val="single"/>
    </w:rPr>
  </w:style>
  <w:style w:type="paragraph" w:customStyle="1" w:styleId="Title">
    <w:name w:val="Title"/>
    <w:basedOn w:val="1"/>
    <w:pPr>
      <w:keepNext/>
      <w:spacing w:before="0" w:after="0" w:line="480" w:lineRule="auto"/>
      <w:ind w:firstLine="0" w:left="0" w:right="0"/>
      <w:jc w:val="center"/>
    </w:pPr>
    <w:rPr>
      <w:rFonts w:ascii="Times New Roman" w:hAnsi="Times New Roman" w:eastAsia="Times New Roman" w:cs="Times New Roman"/>
      <w:b/>
      <w:i w:val="0"/>
      <w:color w:val="000000"/>
      <w:sz w:val="24"/>
    </w:rPr>
  </w:style>
  <w:style w:type="paragraph" w:customStyle="1" w:styleId="Heading1">
    <w:name w:val="heading 1"/>
    <w:basedOn w:val="1"/>
    <w:pPr>
      <w:keepNext/>
      <w:keepLines/>
      <w:spacing w:before="0" w:after="0" w:line="480" w:lineRule="auto"/>
      <w:ind w:firstLine="0" w:left="0" w:right="0"/>
      <w:jc w:val="center"/>
    </w:pPr>
    <w:rPr>
      <w:rFonts w:ascii="Times New Roman" w:hAnsi="Times New Roman" w:eastAsia="Times New Roman" w:cs="Times New Roman"/>
      <w:b/>
      <w:i w:val="0"/>
      <w:color w:val="000000"/>
      <w:sz w:val="24"/>
    </w:rPr>
  </w:style>
  <w:style w:type="paragraph" w:customStyle="1" w:styleId="References">
    <w:name w:val="References"/>
    <w:basedOn w:val="1"/>
    <w:pPr>
      <w:widowControl/>
      <w:spacing w:before="0" w:after="0" w:line="480" w:lineRule="auto"/>
      <w:ind w:left="720" w:hanging="720" w:right="0"/>
      <w:jc w:val="left"/>
    </w:pPr>
    <w:rPr>
      <w:rFonts w:ascii="Times New Roman" w:hAnsi="Times New Roman" w:eastAsia="Times New Roman" w:cs="Times New Roman"/>
      <w:b w:val="0"/>
      <w:i w:val="0"/>
      <w:color w:val="00000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2026-10-15T12:16:54Z</dcterms:created>
  <dc:creator>wangz</dc:creator>
  <cp:lastModifiedBy>WPS_1647443420</cp:lastModifiedBy>
  <dcterms:modified xsi:type="dcterms:W3CDTF">2026-10-15T12:22:25Z</dcterms:modified>
  <dc:title>The Limited Ethical Legitimacy of AI Drone Strikes</dc:title>
  <dc:subject>AI6101 take-home essay</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eyJoZGlkIjoiM2E1MTI5ZTg4ZGYwMmIwZGUxZmNmMzQ2NTQxNmZjYTciLCJ1c2VySWQiOiIxMzQ3MjY5MDg2In0=</vt:lpwstr>
  </property>
  <property fmtid="{D5CDD505-2E9C-101B-9397-08002B2CF9AE}" pid="4" name="ICV">
    <vt:lpwstr>6802C7EB906944EB8C500F576A67D36D_12</vt:lpwstr>
  </property>
</Properties>
</file>