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ptos Display" w:hAnsi="Aptos Display"/>
          <w:b/>
          <w:color w:val="17365D"/>
          <w:sz w:val="50"/>
        </w:rPr>
        <w:t>Digital Accessibility</w:t>
        <w:br/>
        <w:t>Software Development &amp; Design Standard</w:t>
      </w:r>
    </w:p>
    <w:p>
      <w:pPr>
        <w:spacing w:after="80"/>
        <w:jc w:val="center"/>
      </w:pPr>
      <w:r>
        <w:rPr>
          <w:color w:val="1F6D73"/>
          <w:sz w:val="28"/>
        </w:rPr>
        <w:t>A Practical Guide for Software Engineering Students</w:t>
      </w:r>
    </w:p>
    <w:p>
      <w:pPr>
        <w:spacing w:before="400" w:after="80"/>
        <w:jc w:val="center"/>
      </w:pPr>
      <w:r>
        <w:rPr>
          <w:b/>
          <w:sz w:val="24"/>
        </w:rPr>
        <w:t>Baseline: WCAG 2.2 Level AA</w:t>
      </w:r>
    </w:p>
    <w:p>
      <w:pPr>
        <w:spacing w:before="200" w:after="80"/>
        <w:jc w:val="center"/>
      </w:pPr>
      <w:r>
        <w:rPr>
          <w:i/>
        </w:rPr>
        <w:t>Version 1.0  |  August 2026</w:t>
      </w:r>
    </w:p>
    <w:p>
      <w:pPr>
        <w:spacing w:after="80"/>
      </w:pPr>
      <w:r>
        <w:br w:type="page"/>
      </w:r>
    </w:p>
    <w:p>
      <w:pPr>
        <w:pStyle w:val="Heading1"/>
        <w:spacing w:after="80"/>
      </w:pPr>
      <w:r>
        <w:t>1. Purpose and Use</w:t>
      </w:r>
    </w:p>
    <w:p>
      <w:pPr>
        <w:pStyle w:val="Callout"/>
        <w:spacing w:after="80"/>
      </w:pPr>
      <w:r>
        <w:rPr>
          <w:b/>
        </w:rPr>
        <w:t xml:space="preserve">Primary purpose. </w:t>
      </w:r>
      <w:r>
        <w:t>This artifact is intended to provide software engineering students with a practical guide for developing applications in compliance with recognized digital accessibility principles and standards. It translates key accessibility expectations into concrete design, development, and verification practices that can be applied during normal software-development work.</w:t>
      </w:r>
    </w:p>
    <w:p>
      <w:pPr>
        <w:pStyle w:val="Callout"/>
        <w:spacing w:after="80"/>
      </w:pPr>
      <w:r>
        <w:rPr>
          <w:b/>
        </w:rPr>
        <w:t xml:space="preserve">Instructional guidance - not institutional policy. </w:t>
      </w:r>
      <w:r>
        <w:t>This guide does not replace, supersede, reinterpret, or modify any current institutional policy, procedure, legal requirement, contractual obligation, or accessibility guideline. Where institutional requirements or applicable law are more specific or more stringent, those requirements govern.</w:t>
      </w:r>
    </w:p>
    <w:p>
      <w:pPr>
        <w:spacing w:after="80"/>
      </w:pPr>
      <w:r>
        <w:t>The recommended baseline for student application development is WCAG 2.2 Level AA. Accessibility should be treated as a design and engineering constraint throughout the software development lifecycle, not as a final remediation step.</w:t>
      </w:r>
    </w:p>
    <w:p>
      <w:pPr>
        <w:pStyle w:val="Heading1"/>
        <w:spacing w:after="80"/>
      </w:pPr>
      <w:r>
        <w:t>2. Core Development Standard</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vAlign w:val="center"/>
            <w:shd w:fill="17365D"/>
          </w:tcPr>
          <w:p>
            <w:pPr>
              <w:spacing w:after="0"/>
            </w:pPr>
            <w:r>
              <w:rPr>
                <w:sz w:val="16"/>
              </w:rPr>
            </w:r>
            <w:r>
              <w:rPr>
                <w:rFonts w:ascii="Aptos" w:hAnsi="Aptos"/>
                <w:b/>
                <w:color w:val="FFFFFF"/>
                <w:sz w:val="16"/>
              </w:rPr>
              <w:t>WCAG Principle</w:t>
            </w:r>
          </w:p>
        </w:tc>
        <w:tc>
          <w:tcPr>
            <w:tcW w:type="dxa" w:w="5040"/>
            <w:vAlign w:val="center"/>
            <w:shd w:fill="17365D"/>
          </w:tcPr>
          <w:p>
            <w:pPr>
              <w:spacing w:after="0"/>
            </w:pPr>
            <w:r>
              <w:rPr>
                <w:sz w:val="16"/>
              </w:rPr>
            </w:r>
            <w:r>
              <w:rPr>
                <w:rFonts w:ascii="Aptos" w:hAnsi="Aptos"/>
                <w:b/>
                <w:color w:val="FFFFFF"/>
                <w:sz w:val="16"/>
              </w:rPr>
              <w:t>Student Development Expectation</w:t>
            </w:r>
          </w:p>
        </w:tc>
      </w:tr>
      <w:tr>
        <w:trPr>
          <w:cantSplit/>
        </w:trPr>
        <w:tc>
          <w:tcPr>
            <w:tcW w:type="dxa" w:w="5040"/>
            <w:vAlign w:val="center"/>
          </w:tcPr>
          <w:p>
            <w:pPr>
              <w:spacing w:after="0"/>
            </w:pPr>
            <w:r>
              <w:rPr>
                <w:sz w:val="16"/>
              </w:rPr>
            </w:r>
            <w:r>
              <w:rPr>
                <w:rFonts w:ascii="Aptos" w:hAnsi="Aptos"/>
                <w:b/>
                <w:color w:val="17365D"/>
                <w:sz w:val="16"/>
              </w:rPr>
              <w:t>Perceivable</w:t>
            </w:r>
          </w:p>
        </w:tc>
        <w:tc>
          <w:tcPr>
            <w:tcW w:type="dxa" w:w="5040"/>
            <w:vAlign w:val="center"/>
          </w:tcPr>
          <w:p>
            <w:pPr>
              <w:spacing w:after="0"/>
            </w:pPr>
            <w:r>
              <w:rPr>
                <w:sz w:val="16"/>
              </w:rPr>
            </w:r>
            <w:r>
              <w:rPr>
                <w:rFonts w:ascii="Aptos" w:hAnsi="Aptos"/>
                <w:b w:val="0"/>
                <w:sz w:val="16"/>
              </w:rPr>
              <w:t>Users must be able to perceive content and interface information, including text alternatives, sufficient contrast, and adaptable presentation.</w:t>
            </w:r>
          </w:p>
        </w:tc>
      </w:tr>
      <w:tr>
        <w:trPr>
          <w:cantSplit/>
        </w:trPr>
        <w:tc>
          <w:tcPr>
            <w:tcW w:type="dxa" w:w="5040"/>
            <w:vAlign w:val="center"/>
          </w:tcPr>
          <w:p>
            <w:pPr>
              <w:spacing w:after="0"/>
            </w:pPr>
            <w:r>
              <w:rPr>
                <w:sz w:val="16"/>
              </w:rPr>
            </w:r>
            <w:r>
              <w:rPr>
                <w:rFonts w:ascii="Aptos" w:hAnsi="Aptos"/>
                <w:b/>
                <w:color w:val="17365D"/>
                <w:sz w:val="16"/>
              </w:rPr>
              <w:t>Operable</w:t>
            </w:r>
          </w:p>
        </w:tc>
        <w:tc>
          <w:tcPr>
            <w:tcW w:type="dxa" w:w="5040"/>
            <w:vAlign w:val="center"/>
          </w:tcPr>
          <w:p>
            <w:pPr>
              <w:spacing w:after="0"/>
            </w:pPr>
            <w:r>
              <w:rPr>
                <w:sz w:val="16"/>
              </w:rPr>
            </w:r>
            <w:r>
              <w:rPr>
                <w:rFonts w:ascii="Aptos" w:hAnsi="Aptos"/>
                <w:b w:val="0"/>
                <w:sz w:val="16"/>
              </w:rPr>
              <w:t>Users must be able to operate the interface using keyboard and other input methods without traps or inaccessible interactions.</w:t>
            </w:r>
          </w:p>
        </w:tc>
      </w:tr>
      <w:tr>
        <w:trPr>
          <w:cantSplit/>
        </w:trPr>
        <w:tc>
          <w:tcPr>
            <w:tcW w:type="dxa" w:w="5040"/>
            <w:vAlign w:val="center"/>
          </w:tcPr>
          <w:p>
            <w:pPr>
              <w:spacing w:after="0"/>
            </w:pPr>
            <w:r>
              <w:rPr>
                <w:sz w:val="16"/>
              </w:rPr>
            </w:r>
            <w:r>
              <w:rPr>
                <w:rFonts w:ascii="Aptos" w:hAnsi="Aptos"/>
                <w:b/>
                <w:color w:val="17365D"/>
                <w:sz w:val="16"/>
              </w:rPr>
              <w:t>Understandable</w:t>
            </w:r>
          </w:p>
        </w:tc>
        <w:tc>
          <w:tcPr>
            <w:tcW w:type="dxa" w:w="5040"/>
            <w:vAlign w:val="center"/>
          </w:tcPr>
          <w:p>
            <w:pPr>
              <w:spacing w:after="0"/>
            </w:pPr>
            <w:r>
              <w:rPr>
                <w:sz w:val="16"/>
              </w:rPr>
            </w:r>
            <w:r>
              <w:rPr>
                <w:rFonts w:ascii="Aptos" w:hAnsi="Aptos"/>
                <w:b w:val="0"/>
                <w:sz w:val="16"/>
              </w:rPr>
              <w:t>Content, navigation, instructions, validation, and error feedback should be clear, consistent, and predictable.</w:t>
            </w:r>
          </w:p>
        </w:tc>
      </w:tr>
      <w:tr>
        <w:trPr>
          <w:cantSplit/>
        </w:trPr>
        <w:tc>
          <w:tcPr>
            <w:tcW w:type="dxa" w:w="5040"/>
            <w:vAlign w:val="center"/>
          </w:tcPr>
          <w:p>
            <w:pPr>
              <w:spacing w:after="0"/>
            </w:pPr>
            <w:r>
              <w:rPr>
                <w:sz w:val="16"/>
              </w:rPr>
            </w:r>
            <w:r>
              <w:rPr>
                <w:rFonts w:ascii="Aptos" w:hAnsi="Aptos"/>
                <w:b/>
                <w:color w:val="17365D"/>
                <w:sz w:val="16"/>
              </w:rPr>
              <w:t>Robust</w:t>
            </w:r>
          </w:p>
        </w:tc>
        <w:tc>
          <w:tcPr>
            <w:tcW w:type="dxa" w:w="5040"/>
            <w:vAlign w:val="center"/>
          </w:tcPr>
          <w:p>
            <w:pPr>
              <w:spacing w:after="0"/>
            </w:pPr>
            <w:r>
              <w:rPr>
                <w:sz w:val="16"/>
              </w:rPr>
            </w:r>
            <w:r>
              <w:rPr>
                <w:rFonts w:ascii="Aptos" w:hAnsi="Aptos"/>
                <w:b w:val="0"/>
                <w:sz w:val="16"/>
              </w:rPr>
              <w:t>Use semantic, standards-based markup and accessible component behavior so assistive technologies can determine names, roles, values, and states.</w:t>
            </w:r>
          </w:p>
        </w:tc>
      </w:tr>
    </w:tbl>
    <w:p>
      <w:pPr>
        <w:pStyle w:val="Heading1"/>
        <w:spacing w:after="80"/>
      </w:pPr>
      <w:r>
        <w:t>3. Color, Contrast, and Visual Meaning</w:t>
      </w:r>
    </w:p>
    <w:p>
      <w:pPr>
        <w:spacing w:after="80"/>
      </w:pPr>
      <w:r>
        <w:t>Color choices must be verified rather than judged by appearance alone. Contrast requirements apply to the actual foreground/background combinations and to meaningful interface states.</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vAlign w:val="center"/>
            <w:shd w:fill="17365D"/>
          </w:tcPr>
          <w:p>
            <w:pPr>
              <w:spacing w:after="0"/>
            </w:pPr>
            <w:r>
              <w:rPr>
                <w:sz w:val="16"/>
              </w:rPr>
            </w:r>
            <w:r>
              <w:rPr>
                <w:rFonts w:ascii="Aptos" w:hAnsi="Aptos"/>
                <w:b/>
                <w:color w:val="FFFFFF"/>
                <w:sz w:val="16"/>
              </w:rPr>
              <w:t>Element</w:t>
            </w:r>
          </w:p>
        </w:tc>
        <w:tc>
          <w:tcPr>
            <w:tcW w:type="dxa" w:w="3360"/>
            <w:vAlign w:val="center"/>
            <w:shd w:fill="17365D"/>
          </w:tcPr>
          <w:p>
            <w:pPr>
              <w:spacing w:after="0"/>
            </w:pPr>
            <w:r>
              <w:rPr>
                <w:sz w:val="16"/>
              </w:rPr>
            </w:r>
            <w:r>
              <w:rPr>
                <w:rFonts w:ascii="Aptos" w:hAnsi="Aptos"/>
                <w:b/>
                <w:color w:val="FFFFFF"/>
                <w:sz w:val="16"/>
              </w:rPr>
              <w:t>Minimum Standard</w:t>
            </w:r>
          </w:p>
        </w:tc>
        <w:tc>
          <w:tcPr>
            <w:tcW w:type="dxa" w:w="3360"/>
            <w:vAlign w:val="center"/>
            <w:shd w:fill="17365D"/>
          </w:tcPr>
          <w:p>
            <w:pPr>
              <w:spacing w:after="0"/>
            </w:pPr>
            <w:r>
              <w:rPr>
                <w:sz w:val="16"/>
              </w:rPr>
            </w:r>
            <w:r>
              <w:rPr>
                <w:rFonts w:ascii="Aptos" w:hAnsi="Aptos"/>
                <w:b/>
                <w:color w:val="FFFFFF"/>
                <w:sz w:val="16"/>
              </w:rPr>
              <w:t>Reference</w:t>
            </w:r>
          </w:p>
        </w:tc>
      </w:tr>
      <w:tr>
        <w:trPr>
          <w:cantSplit/>
        </w:trPr>
        <w:tc>
          <w:tcPr>
            <w:tcW w:type="dxa" w:w="3360"/>
            <w:vAlign w:val="center"/>
          </w:tcPr>
          <w:p>
            <w:pPr>
              <w:spacing w:after="0"/>
            </w:pPr>
            <w:r>
              <w:rPr>
                <w:sz w:val="16"/>
              </w:rPr>
            </w:r>
            <w:r>
              <w:rPr>
                <w:rFonts w:ascii="Aptos" w:hAnsi="Aptos"/>
                <w:b/>
                <w:color w:val="17365D"/>
                <w:sz w:val="16"/>
              </w:rPr>
              <w:t>Normal text</w:t>
            </w:r>
          </w:p>
        </w:tc>
        <w:tc>
          <w:tcPr>
            <w:tcW w:type="dxa" w:w="3360"/>
            <w:vAlign w:val="center"/>
          </w:tcPr>
          <w:p>
            <w:pPr>
              <w:spacing w:after="0"/>
            </w:pPr>
            <w:r>
              <w:rPr>
                <w:sz w:val="16"/>
              </w:rPr>
            </w:r>
            <w:r>
              <w:rPr>
                <w:rFonts w:ascii="Aptos" w:hAnsi="Aptos"/>
                <w:b w:val="0"/>
                <w:sz w:val="16"/>
              </w:rPr>
              <w:t>Minimum 4.5:1 contrast ratio</w:t>
            </w:r>
          </w:p>
        </w:tc>
        <w:tc>
          <w:tcPr>
            <w:tcW w:type="dxa" w:w="3360"/>
            <w:vAlign w:val="center"/>
          </w:tcPr>
          <w:p>
            <w:pPr>
              <w:spacing w:after="0"/>
            </w:pPr>
            <w:r>
              <w:rPr>
                <w:sz w:val="16"/>
              </w:rPr>
            </w:r>
            <w:r>
              <w:rPr>
                <w:rFonts w:ascii="Aptos" w:hAnsi="Aptos"/>
                <w:b w:val="0"/>
                <w:sz w:val="16"/>
              </w:rPr>
              <w:t>WCAG 1.4.3</w:t>
            </w:r>
          </w:p>
        </w:tc>
      </w:tr>
      <w:tr>
        <w:trPr>
          <w:cantSplit/>
        </w:trPr>
        <w:tc>
          <w:tcPr>
            <w:tcW w:type="dxa" w:w="3360"/>
            <w:vAlign w:val="center"/>
          </w:tcPr>
          <w:p>
            <w:pPr>
              <w:spacing w:after="0"/>
            </w:pPr>
            <w:r>
              <w:rPr>
                <w:sz w:val="16"/>
              </w:rPr>
            </w:r>
            <w:r>
              <w:rPr>
                <w:rFonts w:ascii="Aptos" w:hAnsi="Aptos"/>
                <w:b/>
                <w:color w:val="17365D"/>
                <w:sz w:val="16"/>
              </w:rPr>
              <w:t>Large text</w:t>
            </w:r>
          </w:p>
        </w:tc>
        <w:tc>
          <w:tcPr>
            <w:tcW w:type="dxa" w:w="3360"/>
            <w:vAlign w:val="center"/>
          </w:tcPr>
          <w:p>
            <w:pPr>
              <w:spacing w:after="0"/>
            </w:pPr>
            <w:r>
              <w:rPr>
                <w:sz w:val="16"/>
              </w:rPr>
            </w:r>
            <w:r>
              <w:rPr>
                <w:rFonts w:ascii="Aptos" w:hAnsi="Aptos"/>
                <w:b w:val="0"/>
                <w:sz w:val="16"/>
              </w:rPr>
              <w:t>Minimum 3:1 contrast ratio</w:t>
            </w:r>
          </w:p>
        </w:tc>
        <w:tc>
          <w:tcPr>
            <w:tcW w:type="dxa" w:w="3360"/>
            <w:vAlign w:val="center"/>
          </w:tcPr>
          <w:p>
            <w:pPr>
              <w:spacing w:after="0"/>
            </w:pPr>
            <w:r>
              <w:rPr>
                <w:sz w:val="16"/>
              </w:rPr>
            </w:r>
            <w:r>
              <w:rPr>
                <w:rFonts w:ascii="Aptos" w:hAnsi="Aptos"/>
                <w:b w:val="0"/>
                <w:sz w:val="16"/>
              </w:rPr>
              <w:t>WCAG 1.4.3</w:t>
            </w:r>
          </w:p>
        </w:tc>
      </w:tr>
      <w:tr>
        <w:trPr>
          <w:cantSplit/>
        </w:trPr>
        <w:tc>
          <w:tcPr>
            <w:tcW w:type="dxa" w:w="3360"/>
            <w:vAlign w:val="center"/>
          </w:tcPr>
          <w:p>
            <w:pPr>
              <w:spacing w:after="0"/>
            </w:pPr>
            <w:r>
              <w:rPr>
                <w:sz w:val="16"/>
              </w:rPr>
            </w:r>
            <w:r>
              <w:rPr>
                <w:rFonts w:ascii="Aptos" w:hAnsi="Aptos"/>
                <w:b/>
                <w:color w:val="17365D"/>
                <w:sz w:val="16"/>
              </w:rPr>
              <w:t>UI components and meaningful graphics</w:t>
            </w:r>
          </w:p>
        </w:tc>
        <w:tc>
          <w:tcPr>
            <w:tcW w:type="dxa" w:w="3360"/>
            <w:vAlign w:val="center"/>
          </w:tcPr>
          <w:p>
            <w:pPr>
              <w:spacing w:after="0"/>
            </w:pPr>
            <w:r>
              <w:rPr>
                <w:sz w:val="16"/>
              </w:rPr>
            </w:r>
            <w:r>
              <w:rPr>
                <w:rFonts w:ascii="Aptos" w:hAnsi="Aptos"/>
                <w:b w:val="0"/>
                <w:sz w:val="16"/>
              </w:rPr>
              <w:t>Minimum 3:1 against adjacent colors</w:t>
            </w:r>
          </w:p>
        </w:tc>
        <w:tc>
          <w:tcPr>
            <w:tcW w:type="dxa" w:w="3360"/>
            <w:vAlign w:val="center"/>
          </w:tcPr>
          <w:p>
            <w:pPr>
              <w:spacing w:after="0"/>
            </w:pPr>
            <w:r>
              <w:rPr>
                <w:sz w:val="16"/>
              </w:rPr>
            </w:r>
            <w:r>
              <w:rPr>
                <w:rFonts w:ascii="Aptos" w:hAnsi="Aptos"/>
                <w:b w:val="0"/>
                <w:sz w:val="16"/>
              </w:rPr>
              <w:t>WCAG 1.4.11</w:t>
            </w:r>
          </w:p>
        </w:tc>
      </w:tr>
      <w:tr>
        <w:trPr>
          <w:cantSplit/>
        </w:trPr>
        <w:tc>
          <w:tcPr>
            <w:tcW w:type="dxa" w:w="3360"/>
            <w:vAlign w:val="center"/>
          </w:tcPr>
          <w:p>
            <w:pPr>
              <w:spacing w:after="0"/>
            </w:pPr>
            <w:r>
              <w:rPr>
                <w:sz w:val="16"/>
              </w:rPr>
            </w:r>
            <w:r>
              <w:rPr>
                <w:rFonts w:ascii="Aptos" w:hAnsi="Aptos"/>
                <w:b/>
                <w:color w:val="17365D"/>
                <w:sz w:val="16"/>
              </w:rPr>
              <w:t>Color as information</w:t>
            </w:r>
          </w:p>
        </w:tc>
        <w:tc>
          <w:tcPr>
            <w:tcW w:type="dxa" w:w="3360"/>
            <w:vAlign w:val="center"/>
          </w:tcPr>
          <w:p>
            <w:pPr>
              <w:spacing w:after="0"/>
            </w:pPr>
            <w:r>
              <w:rPr>
                <w:sz w:val="16"/>
              </w:rPr>
            </w:r>
            <w:r>
              <w:rPr>
                <w:rFonts w:ascii="Aptos" w:hAnsi="Aptos"/>
                <w:b w:val="0"/>
                <w:sz w:val="16"/>
              </w:rPr>
              <w:t>Never use color as the only visual means of conveying meaning, status, action, or error</w:t>
            </w:r>
          </w:p>
        </w:tc>
        <w:tc>
          <w:tcPr>
            <w:tcW w:type="dxa" w:w="3360"/>
            <w:vAlign w:val="center"/>
          </w:tcPr>
          <w:p>
            <w:pPr>
              <w:spacing w:after="0"/>
            </w:pPr>
            <w:r>
              <w:rPr>
                <w:sz w:val="16"/>
              </w:rPr>
            </w:r>
            <w:r>
              <w:rPr>
                <w:rFonts w:ascii="Aptos" w:hAnsi="Aptos"/>
                <w:b w:val="0"/>
                <w:sz w:val="16"/>
              </w:rPr>
              <w:t>WCAG 1.4.1</w:t>
            </w:r>
          </w:p>
        </w:tc>
      </w:tr>
      <w:tr>
        <w:trPr>
          <w:cantSplit/>
        </w:trPr>
        <w:tc>
          <w:tcPr>
            <w:tcW w:type="dxa" w:w="3360"/>
            <w:vAlign w:val="center"/>
          </w:tcPr>
          <w:p>
            <w:pPr>
              <w:spacing w:after="0"/>
            </w:pPr>
            <w:r>
              <w:rPr>
                <w:sz w:val="16"/>
              </w:rPr>
            </w:r>
            <w:r>
              <w:rPr>
                <w:rFonts w:ascii="Aptos" w:hAnsi="Aptos"/>
                <w:b/>
                <w:color w:val="17365D"/>
                <w:sz w:val="16"/>
              </w:rPr>
              <w:t>Enhanced text contrast</w:t>
            </w:r>
          </w:p>
        </w:tc>
        <w:tc>
          <w:tcPr>
            <w:tcW w:type="dxa" w:w="3360"/>
            <w:vAlign w:val="center"/>
          </w:tcPr>
          <w:p>
            <w:pPr>
              <w:spacing w:after="0"/>
            </w:pPr>
            <w:r>
              <w:rPr>
                <w:sz w:val="16"/>
              </w:rPr>
            </w:r>
            <w:r>
              <w:rPr>
                <w:rFonts w:ascii="Aptos" w:hAnsi="Aptos"/>
                <w:b w:val="0"/>
                <w:sz w:val="16"/>
              </w:rPr>
              <w:t>7:1 normal text and 4.5:1 large text when targeting AAA</w:t>
            </w:r>
          </w:p>
        </w:tc>
        <w:tc>
          <w:tcPr>
            <w:tcW w:type="dxa" w:w="3360"/>
            <w:vAlign w:val="center"/>
          </w:tcPr>
          <w:p>
            <w:pPr>
              <w:spacing w:after="0"/>
            </w:pPr>
            <w:r>
              <w:rPr>
                <w:sz w:val="16"/>
              </w:rPr>
            </w:r>
            <w:r>
              <w:rPr>
                <w:rFonts w:ascii="Aptos" w:hAnsi="Aptos"/>
                <w:b w:val="0"/>
                <w:sz w:val="16"/>
              </w:rPr>
              <w:t>WCAG 1.4.6</w:t>
            </w:r>
          </w:p>
        </w:tc>
      </w:tr>
    </w:tbl>
    <w:p>
      <w:pPr>
        <w:pStyle w:val="Heading2"/>
      </w:pPr>
      <w:r>
        <w:t>Practical design rules</w:t>
      </w:r>
    </w:p>
    <w:p>
      <w:pPr>
        <w:pStyle w:val="ListBullet"/>
        <w:spacing w:after="40"/>
      </w:pPr>
      <w:r>
        <w:t>Do not indicate errors only by making a field border or message red; include text, an icon, or another visible cue.</w:t>
      </w:r>
    </w:p>
    <w:p>
      <w:pPr>
        <w:pStyle w:val="ListBullet"/>
        <w:spacing w:after="40"/>
      </w:pPr>
      <w:r>
        <w:t>Do not identify chart categories only by color; add labels, patterns, symbols, or a data table when appropriate.</w:t>
      </w:r>
    </w:p>
    <w:p>
      <w:pPr>
        <w:pStyle w:val="ListBullet"/>
        <w:spacing w:after="40"/>
      </w:pPr>
      <w:r>
        <w:t>Verify text placed over images, gradients, disabled-looking surfaces, cards, and colored buttons.</w:t>
      </w:r>
    </w:p>
    <w:p>
      <w:pPr>
        <w:pStyle w:val="ListBullet"/>
        <w:spacing w:after="40"/>
      </w:pPr>
      <w:r>
        <w:t>Ensure links are visually identifiable. Underlining links is a simple, reliable convention; if color alone is used, additional WCAG requirements apply.</w:t>
      </w:r>
    </w:p>
    <w:p>
      <w:pPr>
        <w:pStyle w:val="ListBullet"/>
        <w:spacing w:after="40"/>
      </w:pPr>
      <w:r>
        <w:t>Test hover, focus, selected, active, error, and other meaningful states - not only the default state.</w:t>
      </w:r>
    </w:p>
    <w:p>
      <w:pPr>
        <w:pStyle w:val="Heading1"/>
      </w:pPr>
      <w:r>
        <w:t>4. Typography, Reflow, and Responsive Presentation</w:t>
      </w:r>
    </w:p>
    <w:p>
      <w:pPr>
        <w:pStyle w:val="ListBullet"/>
        <w:spacing w:after="40"/>
      </w:pPr>
      <w:r>
        <w:t>Use real text rather than images of text when the same presentation can be achieved with normal web or application technologies.</w:t>
      </w:r>
    </w:p>
    <w:p>
      <w:pPr>
        <w:pStyle w:val="ListBullet"/>
        <w:spacing w:after="40"/>
      </w:pPr>
      <w:r>
        <w:t>Allow text to resize to at least 200% without loss of content or functionality.</w:t>
      </w:r>
    </w:p>
    <w:p>
      <w:pPr>
        <w:pStyle w:val="ListBullet"/>
        <w:spacing w:after="40"/>
      </w:pPr>
      <w:r>
        <w:t>Design layouts that reflow and remain usable when users zoom or enlarge content.</w:t>
      </w:r>
    </w:p>
    <w:p>
      <w:pPr>
        <w:pStyle w:val="ListBullet"/>
        <w:spacing w:after="40"/>
      </w:pPr>
      <w:r>
        <w:t>Avoid fixed-height containers that clip enlarged text.</w:t>
      </w:r>
    </w:p>
    <w:p>
      <w:pPr>
        <w:pStyle w:val="ListBullet"/>
        <w:spacing w:after="40"/>
      </w:pPr>
      <w:r>
        <w:t>Maintain readable spacing and avoid interfaces that depend on exact text dimensions.</w:t>
      </w:r>
    </w:p>
    <w:p>
      <w:pPr>
        <w:pStyle w:val="Heading1"/>
      </w:pPr>
      <w:r>
        <w:t>5. Keyboard Navigation and Focus</w:t>
      </w:r>
    </w:p>
    <w:p>
      <w:pPr>
        <w:pStyle w:val="ListBullet"/>
        <w:spacing w:after="40"/>
      </w:pPr>
      <w:r>
        <w:t>All essential functionality must be operable from a keyboard.</w:t>
      </w:r>
    </w:p>
    <w:p>
      <w:pPr>
        <w:pStyle w:val="ListBullet"/>
        <w:spacing w:after="40"/>
      </w:pPr>
      <w:r>
        <w:t>Users must not become trapped in a component, modal, menu, or embedded region.</w:t>
      </w:r>
    </w:p>
    <w:p>
      <w:pPr>
        <w:pStyle w:val="ListBullet"/>
        <w:spacing w:after="40"/>
      </w:pPr>
      <w:r>
        <w:t>Keyboard focus order should follow a logical reading and interaction sequence.</w:t>
      </w:r>
    </w:p>
    <w:p>
      <w:pPr>
        <w:pStyle w:val="ListBullet"/>
        <w:spacing w:after="40"/>
      </w:pPr>
      <w:r>
        <w:t>Interactive elements must have a clearly visible focus indicator.</w:t>
      </w:r>
    </w:p>
    <w:p>
      <w:pPr>
        <w:pStyle w:val="ListBullet"/>
        <w:spacing w:after="40"/>
      </w:pPr>
      <w:r>
        <w:t>Focused controls should not be completely hidden by sticky headers, overlays, dialogs, or other authored content.</w:t>
      </w:r>
    </w:p>
    <w:p>
      <w:pPr>
        <w:pStyle w:val="ListBullet"/>
        <w:spacing w:after="40"/>
      </w:pPr>
      <w:r>
        <w:t>Do not remove the browser's default focus outline unless it is replaced with an equally or more visible accessible focus treatment.</w:t>
      </w:r>
    </w:p>
    <w:p>
      <w:pPr>
        <w:pStyle w:val="Heading1"/>
      </w:pPr>
      <w:r>
        <w:t>6. Forms, Controls, Errors, and Status</w:t>
      </w:r>
    </w:p>
    <w:p>
      <w:pPr>
        <w:pStyle w:val="ListBullet"/>
        <w:spacing w:after="40"/>
      </w:pPr>
      <w:r>
        <w:t>Every input must have a meaningful programmatically associated label or accessible name.</w:t>
      </w:r>
    </w:p>
    <w:p>
      <w:pPr>
        <w:pStyle w:val="ListBullet"/>
        <w:spacing w:after="40"/>
      </w:pPr>
      <w:r>
        <w:t>Instructions should appear before or with the interaction they describe.</w:t>
      </w:r>
    </w:p>
    <w:p>
      <w:pPr>
        <w:pStyle w:val="ListBullet"/>
        <w:spacing w:after="40"/>
      </w:pPr>
      <w:r>
        <w:t>Required fields should be identified in more than one way when color is used.</w:t>
      </w:r>
    </w:p>
    <w:p>
      <w:pPr>
        <w:pStyle w:val="ListBullet"/>
        <w:spacing w:after="40"/>
      </w:pPr>
      <w:r>
        <w:t>Validation errors must identify the affected field and explain the problem in text.</w:t>
      </w:r>
    </w:p>
    <w:p>
      <w:pPr>
        <w:pStyle w:val="ListBullet"/>
        <w:spacing w:after="40"/>
      </w:pPr>
      <w:r>
        <w:t>Where practical, provide a useful correction suggestion.</w:t>
      </w:r>
    </w:p>
    <w:p>
      <w:pPr>
        <w:pStyle w:val="ListBullet"/>
        <w:spacing w:after="40"/>
      </w:pPr>
      <w:r>
        <w:t>Custom controls must expose appropriate accessible name, role, value, state, and keyboard behavior.</w:t>
      </w:r>
    </w:p>
    <w:p>
      <w:pPr>
        <w:pStyle w:val="ListBullet"/>
        <w:spacing w:after="40"/>
      </w:pPr>
      <w:r>
        <w:t>Important dynamic status messages should be available to assistive technologies without forcing the user to move focus.</w:t>
      </w:r>
    </w:p>
    <w:p>
      <w:pPr>
        <w:pStyle w:val="Heading1"/>
      </w:pPr>
      <w:r>
        <w:t>7. Images, Icons, Charts, and Media</w:t>
      </w:r>
    </w:p>
    <w:p>
      <w:pPr>
        <w:pStyle w:val="ListBullet"/>
        <w:spacing w:after="40"/>
      </w:pPr>
      <w:r>
        <w:t>Meaningful images require an appropriate text alternative that communicates their purpose or information.</w:t>
      </w:r>
    </w:p>
    <w:p>
      <w:pPr>
        <w:pStyle w:val="ListBullet"/>
        <w:spacing w:after="40"/>
      </w:pPr>
      <w:r>
        <w:t>Decorative images should be implemented so assistive technologies can ignore them.</w:t>
      </w:r>
    </w:p>
    <w:p>
      <w:pPr>
        <w:pStyle w:val="ListBullet"/>
        <w:spacing w:after="40"/>
      </w:pPr>
      <w:r>
        <w:t>Icon-only controls require an accessible name even when the icon is visually familiar.</w:t>
      </w:r>
    </w:p>
    <w:p>
      <w:pPr>
        <w:pStyle w:val="ListBullet"/>
        <w:spacing w:after="40"/>
      </w:pPr>
      <w:r>
        <w:t>Charts and diagrams should not rely on color alone and should provide equivalent information in labels, surrounding text, or an accessible data representation.</w:t>
      </w:r>
    </w:p>
    <w:p>
      <w:pPr>
        <w:pStyle w:val="ListBullet"/>
        <w:spacing w:after="40"/>
      </w:pPr>
      <w:r>
        <w:t>Prerecorded instructional video should include captions when required by the applicable accessibility standard or institutional guidance.</w:t>
      </w:r>
    </w:p>
    <w:p>
      <w:pPr>
        <w:pStyle w:val="Heading1"/>
      </w:pPr>
      <w:r>
        <w:t>8. Semantic Structure and Assistive Technology</w:t>
      </w:r>
    </w:p>
    <w:p>
      <w:pPr>
        <w:pStyle w:val="ListBullet"/>
        <w:spacing w:after="40"/>
      </w:pPr>
      <w:r>
        <w:t>Prefer native semantic HTML elements before creating custom ARIA-based controls.</w:t>
      </w:r>
    </w:p>
    <w:p>
      <w:pPr>
        <w:pStyle w:val="ListBullet"/>
        <w:spacing w:after="40"/>
      </w:pPr>
      <w:r>
        <w:t>Use headings in a logical hierarchy to represent document structure.</w:t>
      </w:r>
    </w:p>
    <w:p>
      <w:pPr>
        <w:pStyle w:val="ListBullet"/>
        <w:spacing w:after="40"/>
      </w:pPr>
      <w:r>
        <w:t>Use real lists for list content and real buttons for actions.</w:t>
      </w:r>
    </w:p>
    <w:p>
      <w:pPr>
        <w:pStyle w:val="ListBullet"/>
        <w:spacing w:after="40"/>
      </w:pPr>
      <w:r>
        <w:t>Use landmarks and meaningful page regions where appropriate.</w:t>
      </w:r>
    </w:p>
    <w:p>
      <w:pPr>
        <w:pStyle w:val="ListBullet"/>
        <w:spacing w:after="40"/>
      </w:pPr>
      <w:r>
        <w:t>Use tables for tabular data, not page layout; identify table headers correctly.</w:t>
      </w:r>
    </w:p>
    <w:p>
      <w:pPr>
        <w:pStyle w:val="ListBullet"/>
        <w:spacing w:after="40"/>
      </w:pPr>
      <w:r>
        <w:t>ARIA should supplement semantics when necessary, not replace correct native semantics.</w:t>
      </w:r>
    </w:p>
    <w:p>
      <w:pPr>
        <w:pStyle w:val="Heading1"/>
      </w:pPr>
      <w:r>
        <w:t>9. Motion, Timing, and Interaction</w:t>
      </w:r>
    </w:p>
    <w:p>
      <w:pPr>
        <w:pStyle w:val="ListBullet"/>
        <w:spacing w:after="40"/>
      </w:pPr>
      <w:r>
        <w:t>Avoid flashing content or effects that could create seizure or physical-reaction risks.</w:t>
      </w:r>
    </w:p>
    <w:p>
      <w:pPr>
        <w:pStyle w:val="ListBullet"/>
        <w:spacing w:after="40"/>
      </w:pPr>
      <w:r>
        <w:t>Provide a way to pause, stop, or hide moving or automatically updating content when required.</w:t>
      </w:r>
    </w:p>
    <w:p>
      <w:pPr>
        <w:pStyle w:val="ListBullet"/>
        <w:spacing w:after="40"/>
      </w:pPr>
      <w:r>
        <w:t>Avoid making essential functionality depend solely on dragging; provide an accessible alternative interaction.</w:t>
      </w:r>
    </w:p>
    <w:p>
      <w:pPr>
        <w:pStyle w:val="ListBullet"/>
        <w:spacing w:after="40"/>
      </w:pPr>
      <w:r>
        <w:t>Use sufficiently sized pointer targets and adequate spacing to reduce accidental activation.</w:t>
      </w:r>
    </w:p>
    <w:p>
      <w:pPr>
        <w:pStyle w:val="ListBullet"/>
        <w:spacing w:after="40"/>
      </w:pPr>
      <w:r>
        <w:t>Respect user preferences such as reduced motion when implementing non-essential animation.</w:t>
      </w:r>
    </w:p>
    <w:p>
      <w:pPr>
        <w:pStyle w:val="Heading1"/>
      </w:pPr>
      <w:r>
        <w:t>10. Verification: Automated + Human Testing</w:t>
      </w:r>
    </w:p>
    <w:p>
      <w:pPr>
        <w:pStyle w:val="Callout"/>
      </w:pPr>
      <w:r>
        <w:rPr>
          <w:b/>
        </w:rPr>
        <w:t xml:space="preserve">Important: </w:t>
      </w:r>
      <w:r>
        <w:t>An automated accessibility score is evidence, not proof of conformance. Automated tools can identify many common failures, but human verification is still necessary for keyboard behavior, meaningful alternatives, logical reading order, understandable errors, appropriate labels, and whether information relies on color.</w:t>
      </w:r>
    </w:p>
    <w:p>
      <w:pPr>
        <w:pStyle w:val="Heading2"/>
      </w:pPr>
      <w:r>
        <w:t>Recommended quick-assessment tools</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vAlign w:val="center"/>
            <w:shd w:fill="17365D"/>
          </w:tcPr>
          <w:p>
            <w:r/>
            <w:r>
              <w:rPr>
                <w:rFonts w:ascii="Aptos" w:hAnsi="Aptos"/>
                <w:b/>
                <w:color w:val="FFFFFF"/>
                <w:sz w:val="17"/>
              </w:rPr>
              <w:t>Tool</w:t>
            </w:r>
          </w:p>
        </w:tc>
        <w:tc>
          <w:tcPr>
            <w:tcW w:type="dxa" w:w="3360"/>
            <w:vAlign w:val="center"/>
            <w:shd w:fill="17365D"/>
          </w:tcPr>
          <w:p>
            <w:r/>
            <w:r>
              <w:rPr>
                <w:rFonts w:ascii="Aptos" w:hAnsi="Aptos"/>
                <w:b/>
                <w:color w:val="FFFFFF"/>
                <w:sz w:val="17"/>
              </w:rPr>
              <w:t>Best Use</w:t>
            </w:r>
          </w:p>
        </w:tc>
        <w:tc>
          <w:tcPr>
            <w:tcW w:type="dxa" w:w="3360"/>
            <w:vAlign w:val="center"/>
            <w:shd w:fill="17365D"/>
          </w:tcPr>
          <w:p>
            <w:r/>
            <w:r>
              <w:rPr>
                <w:rFonts w:ascii="Aptos" w:hAnsi="Aptos"/>
                <w:b/>
                <w:color w:val="FFFFFF"/>
                <w:sz w:val="17"/>
              </w:rPr>
              <w:t>Link</w:t>
            </w:r>
          </w:p>
        </w:tc>
      </w:tr>
      <w:tr>
        <w:trPr>
          <w:cantSplit/>
        </w:trPr>
        <w:tc>
          <w:tcPr>
            <w:tcW w:type="dxa" w:w="3360"/>
            <w:vAlign w:val="center"/>
          </w:tcPr>
          <w:p>
            <w:r/>
            <w:r>
              <w:rPr>
                <w:rFonts w:ascii="Aptos" w:hAnsi="Aptos"/>
                <w:b/>
                <w:color w:val="17365D"/>
                <w:sz w:val="17"/>
              </w:rPr>
              <w:t>WebAIM Contrast Checker</w:t>
            </w:r>
          </w:p>
        </w:tc>
        <w:tc>
          <w:tcPr>
            <w:tcW w:type="dxa" w:w="3360"/>
            <w:vAlign w:val="center"/>
          </w:tcPr>
          <w:p>
            <w:r/>
            <w:r>
              <w:rPr>
                <w:rFonts w:ascii="Aptos" w:hAnsi="Aptos"/>
                <w:b w:val="0"/>
                <w:sz w:val="17"/>
              </w:rPr>
              <w:t>Fast foreground/background contrast ratio check; reports AA/AAA results.</w:t>
            </w:r>
          </w:p>
        </w:tc>
        <w:tc>
          <w:tcPr>
            <w:tcW w:type="dxa" w:w="3360"/>
            <w:vAlign w:val="center"/>
          </w:tcPr>
          <w:p>
            <w:r/>
            <w:hyperlink r:id="rId9">
              <w:r>
                <w:rPr>
                  <w:color w:val="0563C1"/>
                  <w:u w:val="single"/>
                </w:rPr>
                <w:t>Open tool</w:t>
              </w:r>
            </w:hyperlink>
          </w:p>
        </w:tc>
      </w:tr>
      <w:tr>
        <w:trPr>
          <w:cantSplit/>
        </w:trPr>
        <w:tc>
          <w:tcPr>
            <w:tcW w:type="dxa" w:w="3360"/>
            <w:vAlign w:val="center"/>
          </w:tcPr>
          <w:p>
            <w:r/>
            <w:r>
              <w:rPr>
                <w:rFonts w:ascii="Aptos" w:hAnsi="Aptos"/>
                <w:b/>
                <w:color w:val="17365D"/>
                <w:sz w:val="17"/>
              </w:rPr>
              <w:t>WebAIM WAVE</w:t>
            </w:r>
          </w:p>
        </w:tc>
        <w:tc>
          <w:tcPr>
            <w:tcW w:type="dxa" w:w="3360"/>
            <w:vAlign w:val="center"/>
          </w:tcPr>
          <w:p>
            <w:r/>
            <w:r>
              <w:rPr>
                <w:rFonts w:ascii="Aptos" w:hAnsi="Aptos"/>
                <w:b w:val="0"/>
                <w:sz w:val="17"/>
              </w:rPr>
              <w:t>Page-level accessibility evaluation with visual indicators that support human review.</w:t>
            </w:r>
          </w:p>
        </w:tc>
        <w:tc>
          <w:tcPr>
            <w:tcW w:type="dxa" w:w="3360"/>
            <w:vAlign w:val="center"/>
          </w:tcPr>
          <w:p>
            <w:r/>
            <w:hyperlink r:id="rId10">
              <w:r>
                <w:rPr>
                  <w:color w:val="0563C1"/>
                  <w:u w:val="single"/>
                </w:rPr>
                <w:t>Open tool</w:t>
              </w:r>
            </w:hyperlink>
          </w:p>
        </w:tc>
      </w:tr>
      <w:tr>
        <w:trPr>
          <w:cantSplit/>
        </w:trPr>
        <w:tc>
          <w:tcPr>
            <w:tcW w:type="dxa" w:w="3360"/>
            <w:vAlign w:val="center"/>
          </w:tcPr>
          <w:p>
            <w:r/>
            <w:r>
              <w:rPr>
                <w:rFonts w:ascii="Aptos" w:hAnsi="Aptos"/>
                <w:b/>
                <w:color w:val="17365D"/>
                <w:sz w:val="17"/>
              </w:rPr>
              <w:t>TPGi Colour Contrast Analyser</w:t>
            </w:r>
          </w:p>
        </w:tc>
        <w:tc>
          <w:tcPr>
            <w:tcW w:type="dxa" w:w="3360"/>
            <w:vAlign w:val="center"/>
          </w:tcPr>
          <w:p>
            <w:r/>
            <w:r>
              <w:rPr>
                <w:rFonts w:ascii="Aptos" w:hAnsi="Aptos"/>
                <w:b w:val="0"/>
                <w:sz w:val="17"/>
              </w:rPr>
              <w:t>Desktop-oriented color contrast analysis useful during design and QA.</w:t>
            </w:r>
          </w:p>
        </w:tc>
        <w:tc>
          <w:tcPr>
            <w:tcW w:type="dxa" w:w="3360"/>
            <w:vAlign w:val="center"/>
          </w:tcPr>
          <w:p>
            <w:r/>
            <w:hyperlink r:id="rId11">
              <w:r>
                <w:rPr>
                  <w:color w:val="0563C1"/>
                  <w:u w:val="single"/>
                </w:rPr>
                <w:t>Open tool</w:t>
              </w:r>
            </w:hyperlink>
          </w:p>
        </w:tc>
      </w:tr>
      <w:tr>
        <w:trPr>
          <w:cantSplit/>
        </w:trPr>
        <w:tc>
          <w:tcPr>
            <w:tcW w:type="dxa" w:w="3360"/>
            <w:vAlign w:val="center"/>
          </w:tcPr>
          <w:p>
            <w:r/>
            <w:r>
              <w:rPr>
                <w:rFonts w:ascii="Aptos" w:hAnsi="Aptos"/>
                <w:b/>
                <w:color w:val="17365D"/>
                <w:sz w:val="17"/>
              </w:rPr>
              <w:t>Adobe Color Accessibility Tools</w:t>
            </w:r>
          </w:p>
        </w:tc>
        <w:tc>
          <w:tcPr>
            <w:tcW w:type="dxa" w:w="3360"/>
            <w:vAlign w:val="center"/>
          </w:tcPr>
          <w:p>
            <w:r/>
            <w:r>
              <w:rPr>
                <w:rFonts w:ascii="Aptos" w:hAnsi="Aptos"/>
                <w:b w:val="0"/>
                <w:sz w:val="17"/>
              </w:rPr>
              <w:t>Color-blindness simulation, palette evaluation, and accessible color exploration.</w:t>
            </w:r>
          </w:p>
        </w:tc>
        <w:tc>
          <w:tcPr>
            <w:tcW w:type="dxa" w:w="3360"/>
            <w:vAlign w:val="center"/>
          </w:tcPr>
          <w:p>
            <w:r/>
            <w:hyperlink r:id="rId12">
              <w:r>
                <w:rPr>
                  <w:color w:val="0563C1"/>
                  <w:u w:val="single"/>
                </w:rPr>
                <w:t>Open tool</w:t>
              </w:r>
            </w:hyperlink>
          </w:p>
        </w:tc>
      </w:tr>
      <w:tr>
        <w:trPr>
          <w:cantSplit/>
        </w:trPr>
        <w:tc>
          <w:tcPr>
            <w:tcW w:type="dxa" w:w="3360"/>
            <w:vAlign w:val="center"/>
          </w:tcPr>
          <w:p>
            <w:r/>
            <w:r>
              <w:rPr>
                <w:rFonts w:ascii="Aptos" w:hAnsi="Aptos"/>
                <w:b/>
                <w:color w:val="17365D"/>
                <w:sz w:val="17"/>
              </w:rPr>
              <w:t>axe DevTools</w:t>
            </w:r>
          </w:p>
        </w:tc>
        <w:tc>
          <w:tcPr>
            <w:tcW w:type="dxa" w:w="3360"/>
            <w:vAlign w:val="center"/>
          </w:tcPr>
          <w:p>
            <w:r/>
            <w:r>
              <w:rPr>
                <w:rFonts w:ascii="Aptos" w:hAnsi="Aptos"/>
                <w:b w:val="0"/>
                <w:sz w:val="17"/>
              </w:rPr>
              <w:t>Browser/development accessibility testing with automated checks and remediation guidance.</w:t>
            </w:r>
          </w:p>
        </w:tc>
        <w:tc>
          <w:tcPr>
            <w:tcW w:type="dxa" w:w="3360"/>
            <w:vAlign w:val="center"/>
          </w:tcPr>
          <w:p>
            <w:r/>
            <w:hyperlink r:id="rId13">
              <w:r>
                <w:rPr>
                  <w:color w:val="0563C1"/>
                  <w:u w:val="single"/>
                </w:rPr>
                <w:t>Open tool</w:t>
              </w:r>
            </w:hyperlink>
          </w:p>
        </w:tc>
      </w:tr>
      <w:tr>
        <w:trPr>
          <w:cantSplit/>
        </w:trPr>
        <w:tc>
          <w:tcPr>
            <w:tcW w:type="dxa" w:w="3360"/>
            <w:vAlign w:val="center"/>
          </w:tcPr>
          <w:p>
            <w:r/>
            <w:r>
              <w:rPr>
                <w:rFonts w:ascii="Aptos" w:hAnsi="Aptos"/>
                <w:b/>
                <w:color w:val="17365D"/>
                <w:sz w:val="17"/>
              </w:rPr>
              <w:t>Chrome Lighthouse</w:t>
            </w:r>
          </w:p>
        </w:tc>
        <w:tc>
          <w:tcPr>
            <w:tcW w:type="dxa" w:w="3360"/>
            <w:vAlign w:val="center"/>
          </w:tcPr>
          <w:p>
            <w:r/>
            <w:r>
              <w:rPr>
                <w:rFonts w:ascii="Aptos" w:hAnsi="Aptos"/>
                <w:b w:val="0"/>
                <w:sz w:val="17"/>
              </w:rPr>
              <w:t>Built-in auditing for accessibility and other web quality categories.</w:t>
            </w:r>
          </w:p>
        </w:tc>
        <w:tc>
          <w:tcPr>
            <w:tcW w:type="dxa" w:w="3360"/>
            <w:vAlign w:val="center"/>
          </w:tcPr>
          <w:p>
            <w:r/>
            <w:hyperlink r:id="rId14">
              <w:r>
                <w:rPr>
                  <w:color w:val="0563C1"/>
                  <w:u w:val="single"/>
                </w:rPr>
                <w:t>Open tool</w:t>
              </w:r>
            </w:hyperlink>
          </w:p>
        </w:tc>
      </w:tr>
    </w:tbl>
    <w:p>
      <w:pPr>
        <w:pStyle w:val="Heading2"/>
      </w:pPr>
      <w:r>
        <w:t>Suggested student verification workflow</w:t>
      </w:r>
    </w:p>
    <w:p>
      <w:pPr>
        <w:spacing w:after="40"/>
        <w:ind w:left="317" w:hanging="317"/>
      </w:pPr>
      <w:r>
        <w:rPr>
          <w:b/>
        </w:rPr>
        <w:t xml:space="preserve">1. </w:t>
      </w:r>
      <w:r>
        <w:t>Design: check planned color combinations before implementation.</w:t>
      </w:r>
    </w:p>
    <w:p>
      <w:pPr>
        <w:spacing w:after="40"/>
        <w:ind w:left="317" w:hanging="317"/>
      </w:pPr>
      <w:r>
        <w:rPr>
          <w:b/>
        </w:rPr>
        <w:t xml:space="preserve">2. </w:t>
      </w:r>
      <w:r>
        <w:t>Build: use semantic elements and accessible component patterns from the beginning.</w:t>
      </w:r>
    </w:p>
    <w:p>
      <w:pPr>
        <w:spacing w:after="40"/>
        <w:ind w:left="317" w:hanging="317"/>
      </w:pPr>
      <w:r>
        <w:rPr>
          <w:b/>
        </w:rPr>
        <w:t xml:space="preserve">3. </w:t>
      </w:r>
      <w:r>
        <w:t>Inspect: run an automated page/component scan during development.</w:t>
      </w:r>
    </w:p>
    <w:p>
      <w:pPr>
        <w:spacing w:after="40"/>
        <w:ind w:left="317" w:hanging="317"/>
      </w:pPr>
      <w:r>
        <w:rPr>
          <w:b/>
        </w:rPr>
        <w:t xml:space="preserve">4. </w:t>
      </w:r>
      <w:r>
        <w:t>Keyboard test: complete the primary user flow without using a mouse.</w:t>
      </w:r>
    </w:p>
    <w:p>
      <w:pPr>
        <w:spacing w:after="40"/>
        <w:ind w:left="317" w:hanging="317"/>
      </w:pPr>
      <w:r>
        <w:rPr>
          <w:b/>
        </w:rPr>
        <w:t xml:space="preserve">5. </w:t>
      </w:r>
      <w:r>
        <w:t>Visual test: verify focus, zoom/reflow, contrast, errors, and color-independent meaning.</w:t>
      </w:r>
    </w:p>
    <w:p>
      <w:pPr>
        <w:spacing w:after="40"/>
        <w:ind w:left="317" w:hanging="317"/>
      </w:pPr>
      <w:r>
        <w:rPr>
          <w:b/>
        </w:rPr>
        <w:t xml:space="preserve">6. </w:t>
      </w:r>
      <w:r>
        <w:t>Assistive-technology spot check: inspect accessible names/roles and, when appropriate, test a key flow with a screen reader.</w:t>
      </w:r>
    </w:p>
    <w:p>
      <w:pPr>
        <w:spacing w:after="40"/>
        <w:ind w:left="317" w:hanging="317"/>
      </w:pPr>
      <w:r>
        <w:rPr>
          <w:b/>
        </w:rPr>
        <w:t xml:space="preserve">7. </w:t>
      </w:r>
      <w:r>
        <w:t>Remediate and retest: correct failures and repeat the relevant checks before submission or release.</w:t>
      </w:r>
    </w:p>
    <w:p>
      <w:pPr>
        <w:pStyle w:val="Heading1"/>
      </w:pPr>
      <w:r>
        <w:t>11. AI-Generated Code and Designs</w:t>
      </w:r>
    </w:p>
    <w:p>
      <w:r>
        <w:t>AI-assisted development does not change the accessibility requirement. Code, interfaces, components, images, and design recommendations generated by an AI system must be reviewed and verified using the same standards as human-generated work.</w:t>
      </w:r>
    </w:p>
    <w:p>
      <w:pPr>
        <w:pStyle w:val="ListBullet"/>
        <w:spacing w:after="40"/>
      </w:pPr>
      <w:r>
        <w:t>Include accessibility constraints in prompts and repository-level development instructions.</w:t>
      </w:r>
    </w:p>
    <w:p>
      <w:pPr>
        <w:pStyle w:val="ListBullet"/>
        <w:spacing w:after="40"/>
      </w:pPr>
      <w:r>
        <w:t>Do not assume that an AI-generated component is accessible because it uses a common framework or component library.</w:t>
      </w:r>
    </w:p>
    <w:p>
      <w:pPr>
        <w:pStyle w:val="ListBullet"/>
        <w:spacing w:after="40"/>
      </w:pPr>
      <w:r>
        <w:t>Verify generated color values and interaction states rather than accepting visual appearance as evidence.</w:t>
      </w:r>
    </w:p>
    <w:p>
      <w:pPr>
        <w:pStyle w:val="ListBullet"/>
        <w:spacing w:after="40"/>
      </w:pPr>
      <w:r>
        <w:t>Review generated ARIA carefully; unnecessary or incorrect ARIA can reduce accessibility.</w:t>
      </w:r>
    </w:p>
    <w:p>
      <w:pPr>
        <w:pStyle w:val="ListBullet"/>
        <w:spacing w:after="40"/>
      </w:pPr>
      <w:r>
        <w:t>Run automated checks and human verification after AI-generated UI changes.</w:t>
      </w:r>
    </w:p>
    <w:p>
      <w:pPr>
        <w:pStyle w:val="Heading1"/>
      </w:pPr>
      <w:r>
        <w:t>12. Student Accessibility Acceptance Checklist</w:t>
      </w:r>
    </w:p>
    <w:p>
      <w:pPr>
        <w:spacing w:after="40"/>
        <w:ind w:left="288" w:hanging="288"/>
      </w:pPr>
      <w:r>
        <w:rPr>
          <w:b/>
        </w:rPr>
        <w:t xml:space="preserve">☐ </w:t>
      </w:r>
      <w:r>
        <w:t>Normal text contrast meets or exceeds 4.5:1; large text meets or exceeds 3:1.</w:t>
      </w:r>
    </w:p>
    <w:p>
      <w:pPr>
        <w:spacing w:after="40"/>
        <w:ind w:left="288" w:hanging="288"/>
      </w:pPr>
      <w:r>
        <w:rPr>
          <w:b/>
        </w:rPr>
        <w:t xml:space="preserve">☐ </w:t>
      </w:r>
      <w:r>
        <w:t>Meaningful UI components and graphics meet applicable 3:1 non-text contrast requirements.</w:t>
      </w:r>
    </w:p>
    <w:p>
      <w:pPr>
        <w:spacing w:after="40"/>
        <w:ind w:left="288" w:hanging="288"/>
      </w:pPr>
      <w:r>
        <w:rPr>
          <w:b/>
        </w:rPr>
        <w:t xml:space="preserve">☐ </w:t>
      </w:r>
      <w:r>
        <w:t>Color is not the only way information, status, validation, or action is communicated.</w:t>
      </w:r>
    </w:p>
    <w:p>
      <w:pPr>
        <w:spacing w:after="40"/>
        <w:ind w:left="288" w:hanging="288"/>
      </w:pPr>
      <w:r>
        <w:rPr>
          <w:b/>
        </w:rPr>
        <w:t xml:space="preserve">☐ </w:t>
      </w:r>
      <w:r>
        <w:t>All essential functionality can be completed with a keyboard.</w:t>
      </w:r>
    </w:p>
    <w:p>
      <w:pPr>
        <w:spacing w:after="40"/>
        <w:ind w:left="288" w:hanging="288"/>
      </w:pPr>
      <w:r>
        <w:rPr>
          <w:b/>
        </w:rPr>
        <w:t xml:space="preserve">☐ </w:t>
      </w:r>
      <w:r>
        <w:t>Focus is visible, logically ordered, and not obscured.</w:t>
      </w:r>
    </w:p>
    <w:p>
      <w:pPr>
        <w:spacing w:after="40"/>
        <w:ind w:left="288" w:hanging="288"/>
      </w:pPr>
      <w:r>
        <w:rPr>
          <w:b/>
        </w:rPr>
        <w:t xml:space="preserve">☐ </w:t>
      </w:r>
      <w:r>
        <w:t>Inputs have meaningful labels; errors identify the problem in text.</w:t>
      </w:r>
    </w:p>
    <w:p>
      <w:pPr>
        <w:spacing w:after="40"/>
        <w:ind w:left="288" w:hanging="288"/>
      </w:pPr>
      <w:r>
        <w:rPr>
          <w:b/>
        </w:rPr>
        <w:t xml:space="preserve">☐ </w:t>
      </w:r>
      <w:r>
        <w:t>Meaningful images have appropriate text alternatives; decorative images are handled appropriately.</w:t>
      </w:r>
    </w:p>
    <w:p>
      <w:pPr>
        <w:spacing w:after="40"/>
        <w:ind w:left="288" w:hanging="288"/>
      </w:pPr>
      <w:r>
        <w:rPr>
          <w:b/>
        </w:rPr>
        <w:t xml:space="preserve">☐ </w:t>
      </w:r>
      <w:r>
        <w:t>Semantic HTML/native controls are used where practical.</w:t>
      </w:r>
    </w:p>
    <w:p>
      <w:pPr>
        <w:spacing w:after="40"/>
        <w:ind w:left="288" w:hanging="288"/>
      </w:pPr>
      <w:r>
        <w:rPr>
          <w:b/>
        </w:rPr>
        <w:t xml:space="preserve">☐ </w:t>
      </w:r>
      <w:r>
        <w:t>Headings, lists, tables, and page regions have logical structure.</w:t>
      </w:r>
    </w:p>
    <w:p>
      <w:pPr>
        <w:spacing w:after="40"/>
        <w:ind w:left="288" w:hanging="288"/>
      </w:pPr>
      <w:r>
        <w:rPr>
          <w:b/>
        </w:rPr>
        <w:t xml:space="preserve">☐ </w:t>
      </w:r>
      <w:r>
        <w:t>Content remains usable when text is enlarged and the page is zoomed/reflowed.</w:t>
      </w:r>
    </w:p>
    <w:p>
      <w:pPr>
        <w:spacing w:after="40"/>
        <w:ind w:left="288" w:hanging="288"/>
      </w:pPr>
      <w:r>
        <w:rPr>
          <w:b/>
        </w:rPr>
        <w:t xml:space="preserve">☐ </w:t>
      </w:r>
      <w:r>
        <w:t>Motion, timing, dragging, and target-size concerns have been reviewed.</w:t>
      </w:r>
    </w:p>
    <w:p>
      <w:pPr>
        <w:spacing w:after="40"/>
        <w:ind w:left="288" w:hanging="288"/>
      </w:pPr>
      <w:r>
        <w:rPr>
          <w:b/>
        </w:rPr>
        <w:t xml:space="preserve">☐ </w:t>
      </w:r>
      <w:r>
        <w:t>At least one automated accessibility assessment has been completed and relevant findings addressed.</w:t>
      </w:r>
    </w:p>
    <w:p>
      <w:pPr>
        <w:spacing w:after="40"/>
        <w:ind w:left="288" w:hanging="288"/>
      </w:pPr>
      <w:r>
        <w:rPr>
          <w:b/>
        </w:rPr>
        <w:t xml:space="preserve">☐ </w:t>
      </w:r>
      <w:r>
        <w:t>Manual keyboard and visual accessibility checks have been completed.</w:t>
      </w:r>
    </w:p>
    <w:p>
      <w:pPr>
        <w:spacing w:after="40"/>
        <w:ind w:left="288" w:hanging="288"/>
      </w:pPr>
      <w:r>
        <w:rPr>
          <w:b/>
        </w:rPr>
        <w:t xml:space="preserve">☐ </w:t>
      </w:r>
      <w:r>
        <w:t>AI-generated UI/code, if used, has been independently reviewed for accessibility.</w:t>
      </w:r>
    </w:p>
    <w:p>
      <w:pPr>
        <w:pStyle w:val="Heading1"/>
      </w:pPr>
      <w:r>
        <w:t>13. Providing Accessible User-Facing Documentation</w:t>
      </w:r>
    </w:p>
    <w:p>
      <w:r>
        <w:t>Accessibility responsibilities extend beyond the application interface. User-facing documentation - including setup guides, instructions, help documents, reports, handouts, and downloadable resources - should also be created and distributed in an accessible form. When documentation is provided as a Microsoft Word document or PDF, accessibility should be checked before publication or distribution.</w:t>
      </w:r>
    </w:p>
    <w:p>
      <w:pPr>
        <w:pStyle w:val="Heading2"/>
      </w:pPr>
      <w:r>
        <w:t>Microsoft Word (DOCX) verification</w:t>
      </w:r>
    </w:p>
    <w:p>
      <w:r>
        <w:t>For documentation authored in Microsoft Word, use Word's built-in Accessibility Checker before sharing the file. In current desktop versions of Word, open Review and select Check Accessibility. Review the reported errors and warnings, correct applicable issues, and recheck the document.</w:t>
      </w:r>
    </w:p>
    <w:p>
      <w:pPr>
        <w:pStyle w:val="ListBullet"/>
      </w:pPr>
      <w:r>
        <w:t>Use Word heading styles to create a logical document structure.</w:t>
      </w:r>
    </w:p>
    <w:p>
      <w:pPr>
        <w:pStyle w:val="ListBullet"/>
      </w:pPr>
      <w:r>
        <w:t>Provide meaningful alternative text for informative images and graphics; mark decorative content appropriately.</w:t>
      </w:r>
    </w:p>
    <w:p>
      <w:pPr>
        <w:pStyle w:val="ListBullet"/>
      </w:pPr>
      <w:r>
        <w:t>Use meaningful hyperlink text rather than vague phrases such as "click here" or displaying long raw URLs when a descriptive label is possible.</w:t>
      </w:r>
    </w:p>
    <w:p>
      <w:pPr>
        <w:pStyle w:val="ListBullet"/>
      </w:pPr>
      <w:r>
        <w:t>Identify table header rows and keep tables structurally simple when possible.</w:t>
      </w:r>
    </w:p>
    <w:p>
      <w:pPr>
        <w:pStyle w:val="ListBullet"/>
      </w:pPr>
      <w:r>
        <w:t>Set the document language and provide a meaningful document title.</w:t>
      </w:r>
    </w:p>
    <w:p>
      <w:pPr>
        <w:pStyle w:val="ListBullet"/>
      </w:pPr>
      <w:r>
        <w:t>Treat the Accessibility Checker as a verification aid rather than proof of complete accessibility; manually review meaning, reading order, contrast, and usability.</w:t>
      </w:r>
    </w:p>
    <w:p>
      <w:r>
        <w:t>Recommended tool: Microsoft Word Accessibility Checker - Review &gt; Check Accessibility. See Microsoft Support: Improve accessibility with the Accessibility Checker.</w:t>
      </w:r>
    </w:p>
    <w:p>
      <w:pPr>
        <w:pStyle w:val="Heading2"/>
      </w:pPr>
      <w:r>
        <w:t>PDF verification after conversion</w:t>
      </w:r>
    </w:p>
    <w:p>
      <w:r>
        <w:t>Converting an accessible Word document to PDF does not automatically guarantee that the resulting PDF remains accessible. If user-facing documentation is distributed as PDF, verify the exported PDF separately. The PDF Accessibility Checker (PAC) can evaluate many PDF/UA and WCAG-related technical requirements and provides structure and screen-reader previews that support manual review.</w:t>
      </w:r>
    </w:p>
    <w:p>
      <w:pPr>
        <w:pStyle w:val="ListBullet"/>
      </w:pPr>
      <w:r>
        <w:t>Export using a method that preserves document structure and accessibility tags; do not rely on print-to-PDF when it removes semantic information.</w:t>
      </w:r>
    </w:p>
    <w:p>
      <w:pPr>
        <w:pStyle w:val="ListBullet"/>
      </w:pPr>
      <w:r>
        <w:t>Run the exported PDF through PAC and review the summary and detailed findings.</w:t>
      </w:r>
    </w:p>
    <w:p>
      <w:pPr>
        <w:pStyle w:val="ListBullet"/>
      </w:pPr>
      <w:r>
        <w:t>Inspect the PDF structure and reading order and confirm headings, lists, links, tables, and alternative text were preserved correctly.</w:t>
      </w:r>
    </w:p>
    <w:p>
      <w:pPr>
        <w:pStyle w:val="ListBullet"/>
      </w:pPr>
      <w:r>
        <w:t>Correct problems in the source document whenever practical, export again, and retest the PDF.</w:t>
      </w:r>
    </w:p>
    <w:p>
      <w:pPr>
        <w:pStyle w:val="ListBullet"/>
      </w:pPr>
      <w:r>
        <w:t>Pair automated PDF checking with human review; a passing automated report does not establish complete accessibility.</w:t>
      </w:r>
    </w:p>
    <w:p>
      <w:r>
        <w:t>Recommended tool: PAC (PDF Accessibility Checker) - a free PDF accessibility checker for many PDF/UA and WCAG requirements. See the PDF Association PAC resource.</w:t>
      </w:r>
    </w:p>
    <w:p>
      <w:pPr>
        <w:pStyle w:val="Heading2"/>
      </w:pPr>
      <w:r>
        <w:t>Recommended documentation workflow</w:t>
      </w:r>
    </w:p>
    <w:p>
      <w:r>
        <w:t>1. Author the documentation using accessible structure and formatting.</w:t>
      </w:r>
    </w:p>
    <w:p>
      <w:r>
        <w:t>2. Run the Microsoft Word Accessibility Checker and resolve applicable errors and warnings.</w:t>
      </w:r>
    </w:p>
    <w:p>
      <w:r>
        <w:t>3. Perform a brief manual review for logical structure, meaningful links and alternatives, readable contrast, and usability.</w:t>
      </w:r>
    </w:p>
    <w:p>
      <w:r>
        <w:t>4. If PDF distribution is required, export the document using an accessibility-preserving method.</w:t>
      </w:r>
    </w:p>
    <w:p>
      <w:r>
        <w:t>5. Run PAC against the exported PDF and inspect the document structure and reading order.</w:t>
      </w:r>
    </w:p>
    <w:p>
      <w:r>
        <w:t>6. Correct issues, re-export, and retest before distribution.</w:t>
      </w:r>
    </w:p>
    <w:p>
      <w:pPr>
        <w:pStyle w:val="Heading1"/>
      </w:pPr>
      <w:r>
        <w:t>14. References and Governing Resources</w:t>
      </w:r>
    </w:p>
    <w:p>
      <w:pPr>
        <w:spacing w:after="60"/>
      </w:pPr>
      <w:hyperlink r:id="rId15">
        <w:r>
          <w:rPr>
            <w:color w:val="0563C1"/>
            <w:u w:val="single"/>
          </w:rPr>
          <w:t>W3C Web Content Accessibility Guidelines (WCAG) 2.2</w:t>
        </w:r>
      </w:hyperlink>
    </w:p>
    <w:p>
      <w:pPr>
        <w:spacing w:after="60"/>
      </w:pPr>
      <w:hyperlink r:id="rId16">
        <w:r>
          <w:rPr>
            <w:color w:val="0563C1"/>
            <w:u w:val="single"/>
          </w:rPr>
          <w:t>W3C Understanding WCAG 2.2</w:t>
        </w:r>
      </w:hyperlink>
    </w:p>
    <w:p>
      <w:pPr>
        <w:spacing w:after="60"/>
      </w:pPr>
      <w:hyperlink r:id="rId17">
        <w:r>
          <w:rPr>
            <w:color w:val="0563C1"/>
            <w:u w:val="single"/>
          </w:rPr>
          <w:t>W3C Understanding SC 1.4.1 - Use of Color</w:t>
        </w:r>
      </w:hyperlink>
    </w:p>
    <w:p>
      <w:pPr>
        <w:spacing w:after="60"/>
      </w:pPr>
      <w:hyperlink r:id="rId18">
        <w:r>
          <w:rPr>
            <w:color w:val="0563C1"/>
            <w:u w:val="single"/>
          </w:rPr>
          <w:t>W3C Understanding SC 1.4.11 - Non-text Contrast</w:t>
        </w:r>
      </w:hyperlink>
    </w:p>
    <w:p>
      <w:r>
        <w:t>Microsoft Support - Improve accessibility with the Accessibility Checker: https://support.microsoft.com/en-US/accessibility/office-accessibility/improve-accessibility-with-the-accessibility-checker</w:t>
      </w:r>
    </w:p>
    <w:p>
      <w:r>
        <w:t>PDF Association - PAC (PDF Accessibility Checker): https://pdfa.org/product/pac/</w:t>
      </w:r>
    </w:p>
    <w:p>
      <w:pPr>
        <w:spacing w:before="240"/>
      </w:pPr>
      <w:r>
        <w:rPr>
          <w:b/>
        </w:rPr>
        <w:t xml:space="preserve">Maintenance note. </w:t>
      </w:r>
      <w:r>
        <w:t>Accessibility standards, institutional requirements, legal obligations, browser capabilities, and testing tools evolve. This guide should be reviewed periodically and updated when governing requirements or accepted development practices change.</w:t>
      </w:r>
    </w:p>
    <w:sectPr w:rsidR="00FC693F" w:rsidRPr="0006063C" w:rsidSect="00034616">
      <w:footerReference w:type="default" r:id="rId1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Digital Accessibility Software Development &amp; Design Standard | Student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lang w:val="en-US"/>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6D73"/>
      <w:sz w:val="25"/>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259" w:right="259"/>
    </w:pPr>
    <w:rPr>
      <w:rFonts w:ascii="Aptos" w:hAnsi="Aptos"/>
      <w:color w:val="17365D"/>
      <w:sz w:val="21"/>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ebaim.org/resources/contrastchecker/" TargetMode="External"/><Relationship Id="rId10" Type="http://schemas.openxmlformats.org/officeDocument/2006/relationships/hyperlink" Target="https://wave.webaim.org/" TargetMode="External"/><Relationship Id="rId11" Type="http://schemas.openxmlformats.org/officeDocument/2006/relationships/hyperlink" Target="https://www.tpgi.com/color-contrast-checker/" TargetMode="External"/><Relationship Id="rId12" Type="http://schemas.openxmlformats.org/officeDocument/2006/relationships/hyperlink" Target="https://color.adobe.com/create/color-accessibility" TargetMode="External"/><Relationship Id="rId13" Type="http://schemas.openxmlformats.org/officeDocument/2006/relationships/hyperlink" Target="https://www.deque.com/axe/devtools/extension/" TargetMode="External"/><Relationship Id="rId14" Type="http://schemas.openxmlformats.org/officeDocument/2006/relationships/hyperlink" Target="https://developer.chrome.com/docs/lighthouse/" TargetMode="External"/><Relationship Id="rId15" Type="http://schemas.openxmlformats.org/officeDocument/2006/relationships/hyperlink" Target="https://www.w3.org/TR/WCAG22/" TargetMode="External"/><Relationship Id="rId16" Type="http://schemas.openxmlformats.org/officeDocument/2006/relationships/hyperlink" Target="https://www.w3.org/WAI/WCAG22/understanding/" TargetMode="External"/><Relationship Id="rId17" Type="http://schemas.openxmlformats.org/officeDocument/2006/relationships/hyperlink" Target="https://www.w3.org/WAI/WCAG22/Understanding/use-of-color" TargetMode="External"/><Relationship Id="rId18" Type="http://schemas.openxmlformats.org/officeDocument/2006/relationships/hyperlink" Target="https://www.w3.org/WAI/WCAG22/Understanding/non-text-contrast"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Accessibility Software Development &amp; Design Standard</dc:title>
  <dc:subject>Practical digital accessibility guide for software engineering students</dc:subject>
  <dc:creator>python-docx</dc:creator>
  <cp:keywords>accessibility, WCAG 2.2, software development, software design, student guide, user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