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ython-naming-conventions-cheat-sheet"/>
    <w:p>
      <w:pPr>
        <w:pStyle w:val="Heading1"/>
      </w:pPr>
      <w:r>
        <w:t xml:space="preserve">Python Naming Conventions Cheat Sheet</w:t>
      </w:r>
    </w:p>
    <w:p>
      <w:pPr>
        <w:pStyle w:val="FirstParagraph"/>
      </w:pPr>
      <w:r>
        <w:rPr>
          <w:b/>
          <w:bCs/>
        </w:rPr>
        <w:t xml:space="preserve">Python Class (10-152-117)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hyperlink r:id="rId9">
        <w:r>
          <w:rPr>
            <w:rStyle w:val="Hyperlink"/>
          </w:rPr>
          <w:t xml:space="preserve">PEP 8 - Style Guide for Python Code</w:t>
        </w:r>
      </w:hyperlink>
    </w:p>
    <w:bookmarkStart w:id="10" w:name="the-python-quick-rule"/>
    <w:p>
      <w:pPr>
        <w:pStyle w:val="Heading2"/>
      </w:pPr>
      <w:r>
        <w:t xml:space="preserve">The Python quick rule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for most names,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for classes, and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 </w:t>
      </w:r>
      <w:r>
        <w:t xml:space="preserve">for constants. Names should describe the value, behavior, or responsibility they represent.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in Python</w:t>
            </w:r>
          </w:p>
        </w:tc>
        <w:tc>
          <w:tcPr/>
          <w:p>
            <w:pPr>
              <w:pStyle w:val="Compact"/>
            </w:pPr>
            <w:r>
              <w:t xml:space="preserve">Preferred 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and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calculate_total()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and packages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grade_tools.py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GradeCalculator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InvalidGradeError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 = 3</w:t>
            </w:r>
          </w:p>
        </w:tc>
      </w:tr>
    </w:tbl>
    <w:bookmarkEnd w:id="10"/>
    <w:bookmarkStart w:id="11" w:name="common-naming-conventions"/>
    <w:p>
      <w:pPr>
        <w:pStyle w:val="Heading2"/>
      </w:pPr>
      <w:r>
        <w:t xml:space="preserve">Common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Where you may see it</w:t>
            </w:r>
          </w:p>
        </w:tc>
        <w:tc>
          <w:tcPr/>
          <w:p>
            <w:pPr>
              <w:pStyle w:val="Compact"/>
            </w:pPr>
            <w:r>
              <w:t xml:space="preserve">Python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Simple names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student_score</w:t>
            </w:r>
          </w:p>
        </w:tc>
        <w:tc>
          <w:tcPr/>
          <w:p>
            <w:pPr>
              <w:pStyle w:val="Compact"/>
            </w:pPr>
            <w:r>
              <w:t xml:space="preserve">Python variables, functions, methods,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 8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PascalCase (CapitalCase)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StudentScore</w:t>
            </w:r>
          </w:p>
        </w:tc>
        <w:tc>
          <w:tcPr/>
          <w:p>
            <w:pPr>
              <w:pStyle w:val="Compact"/>
            </w:pPr>
            <w:r>
              <w:t xml:space="preserve">Classes and exceptions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 8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studentScore</w:t>
            </w:r>
          </w:p>
        </w:tc>
        <w:tc>
          <w:tcPr/>
          <w:p>
            <w:pPr>
              <w:pStyle w:val="Compact"/>
            </w:pPr>
            <w:r>
              <w:t xml:space="preserve">JavaScript, Java, C#</w:t>
            </w:r>
          </w:p>
        </w:tc>
        <w:tc>
          <w:tcPr/>
          <w:p>
            <w:pPr>
              <w:pStyle w:val="Compact"/>
            </w:pPr>
            <w:r>
              <w:t xml:space="preserve">Avoid for Python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UPPER_SNAKE_CASE (SCREAMING_SNAKE_CASE)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Constants and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 8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kebab-case (train-case)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student-score</w:t>
            </w:r>
          </w:p>
        </w:tc>
        <w:tc>
          <w:tcPr/>
          <w:p>
            <w:pPr>
              <w:pStyle w:val="Compact"/>
            </w:pPr>
            <w:r>
              <w:t xml:space="preserve">URLs, CSS classes, command-line options</w:t>
            </w:r>
          </w:p>
        </w:tc>
        <w:tc>
          <w:tcPr/>
          <w:p>
            <w:pPr>
              <w:pStyle w:val="Compact"/>
            </w:pPr>
            <w:r>
              <w:t xml:space="preserve">Not valid for Python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dot.case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student.score</w:t>
            </w:r>
          </w:p>
        </w:tc>
        <w:tc>
          <w:tcPr/>
          <w:p>
            <w:pPr>
              <w:pStyle w:val="Compact"/>
            </w:pPr>
            <w:r>
              <w:t xml:space="preserve">Module paths and attribute access</w:t>
            </w:r>
          </w:p>
        </w:tc>
        <w:tc>
          <w:tcPr/>
          <w:p>
            <w:pPr>
              <w:pStyle w:val="Compact"/>
            </w:pPr>
            <w:r>
              <w:t xml:space="preserve">Not a single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 Score</w:t>
            </w:r>
          </w:p>
        </w:tc>
        <w:tc>
          <w:tcPr/>
          <w:p>
            <w:pPr>
              <w:pStyle w:val="Compact"/>
            </w:pPr>
            <w:r>
              <w:t xml:space="preserve">Headings and human-facing labels</w:t>
            </w:r>
          </w:p>
        </w:tc>
        <w:tc>
          <w:tcPr/>
          <w:p>
            <w:pPr>
              <w:pStyle w:val="Compact"/>
            </w:pPr>
            <w:r>
              <w:t xml:space="preserve">Not a Python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studentscore</w:t>
            </w:r>
          </w:p>
        </w:tc>
        <w:tc>
          <w:tcPr/>
          <w:p>
            <w:pPr>
              <w:pStyle w:val="Compact"/>
            </w:pPr>
            <w:r>
              <w:t xml:space="preserve">Occasional file names or labels</w:t>
            </w:r>
          </w:p>
        </w:tc>
        <w:tc>
          <w:tcPr/>
          <w:p>
            <w:pPr>
              <w:pStyle w:val="Compact"/>
            </w:pPr>
            <w:r>
              <w:t xml:space="preserve">Rare; less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UPPERCASE flatcase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STUDENTSCORE</w:t>
            </w:r>
          </w:p>
        </w:tc>
        <w:tc>
          <w:tcPr/>
          <w:p>
            <w:pPr>
              <w:pStyle w:val="Compact"/>
            </w:pPr>
            <w:r>
              <w:t xml:space="preserve">Acronyms or legacy systems</w:t>
            </w:r>
          </w:p>
        </w:tc>
        <w:tc>
          <w:tcPr/>
          <w:p>
            <w:pPr>
              <w:pStyle w:val="Compact"/>
            </w:pPr>
            <w:r>
              <w:t xml:space="preserve">Rare; avoid for new Python names</w:t>
            </w:r>
          </w:p>
        </w:tc>
      </w:tr>
    </w:tbl>
    <w:bookmarkEnd w:id="11"/>
    <w:bookmarkStart w:id="12" w:name="python-specific-underscore-conventions"/>
    <w:p>
      <w:pPr>
        <w:pStyle w:val="Heading2"/>
      </w:pPr>
      <w:r>
        <w:t xml:space="preserve">Python-specific underscore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Leading underscore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_cached_result</w:t>
            </w:r>
          </w:p>
        </w:tc>
        <w:tc>
          <w:tcPr/>
          <w:p>
            <w:pPr>
              <w:pStyle w:val="Compact"/>
            </w:pPr>
            <w:r>
              <w:t xml:space="preserve">Conventionally internal or non-public.</w:t>
            </w:r>
            <w:r>
              <w:t xml:space="preserve"> </w:t>
            </w:r>
            <w:r>
              <w:rPr>
                <w:rStyle w:val="VerbatimChar"/>
              </w:rPr>
              <w:t xml:space="preserve">from module import *</w:t>
            </w:r>
            <w:r>
              <w:t xml:space="preserve"> </w:t>
            </w:r>
            <w:r>
              <w:t xml:space="preserve">does not import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underscore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</w:t>
            </w:r>
          </w:p>
        </w:tc>
        <w:tc>
          <w:tcPr/>
          <w:p>
            <w:pPr>
              <w:pStyle w:val="Compact"/>
            </w:pPr>
            <w:r>
              <w:t xml:space="preserve">Avoids a conflict with a Python keyword or built-in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leading underscore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__balance</w:t>
            </w:r>
          </w:p>
        </w:tc>
        <w:tc>
          <w:tcPr/>
          <w:p>
            <w:pPr>
              <w:pStyle w:val="Compact"/>
            </w:pPr>
            <w:r>
              <w:t xml:space="preserve">Python applies name mangling inside a class to help avoid accidental subclass conflicts.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leading and trailing underscores (dunder)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__len__</w:t>
            </w:r>
          </w:p>
        </w:tc>
        <w:tc>
          <w:tcPr/>
          <w:p>
            <w:pPr>
              <w:pStyle w:val="Compact"/>
            </w:pPr>
            <w:r>
              <w:t xml:space="preserve">Special names defined by Python. Do not invent new dunder names.</w:t>
            </w:r>
          </w:p>
        </w:tc>
      </w:tr>
    </w:tbl>
    <w:bookmarkEnd w:id="12"/>
    <w:bookmarkStart w:id="13" w:name="identifier-rules"/>
    <w:p>
      <w:pPr>
        <w:pStyle w:val="Heading2"/>
      </w:pPr>
      <w:r>
        <w:t xml:space="preserve">Identifier rules</w:t>
      </w:r>
    </w:p>
    <w:p>
      <w:pPr>
        <w:pStyle w:val="Compact"/>
        <w:numPr>
          <w:ilvl w:val="0"/>
          <w:numId w:val="1001"/>
        </w:numPr>
      </w:pPr>
      <w:r>
        <w:t xml:space="preserve">Start with a letter or underscore, followed by letters, digits, or underscores.</w:t>
      </w:r>
    </w:p>
    <w:p>
      <w:pPr>
        <w:pStyle w:val="Compact"/>
        <w:numPr>
          <w:ilvl w:val="0"/>
          <w:numId w:val="1001"/>
        </w:numPr>
      </w:pPr>
      <w:r>
        <w:t xml:space="preserve">Do not start with a digit:</w:t>
      </w:r>
      <w:r>
        <w:t xml:space="preserve"> </w:t>
      </w:r>
      <w:r>
        <w:rPr>
          <w:rStyle w:val="VerbatimChar"/>
        </w:rPr>
        <w:t xml:space="preserve">2nd_attempt</w:t>
      </w:r>
      <w:r>
        <w:t xml:space="preserve"> </w:t>
      </w:r>
      <w:r>
        <w:t xml:space="preserve">is invalid.</w:t>
      </w:r>
    </w:p>
    <w:p>
      <w:pPr>
        <w:pStyle w:val="Compact"/>
        <w:numPr>
          <w:ilvl w:val="0"/>
          <w:numId w:val="1001"/>
        </w:numPr>
      </w:pPr>
      <w:r>
        <w:t xml:space="preserve">Do not use spaces or hyphens:</w:t>
      </w:r>
      <w:r>
        <w:t xml:space="preserve"> </w:t>
      </w:r>
      <w:r>
        <w:rPr>
          <w:rStyle w:val="VerbatimChar"/>
        </w:rPr>
        <w:t xml:space="preserve">student 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student-score</w:t>
      </w:r>
      <w:r>
        <w:t xml:space="preserve"> </w:t>
      </w:r>
      <w:r>
        <w:t xml:space="preserve">are invalid.</w:t>
      </w:r>
    </w:p>
    <w:p>
      <w:pPr>
        <w:pStyle w:val="Compact"/>
        <w:numPr>
          <w:ilvl w:val="0"/>
          <w:numId w:val="1001"/>
        </w:numPr>
      </w:pPr>
      <w:r>
        <w:t xml:space="preserve">Python is case-sensitive: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are different names.</w:t>
      </w:r>
    </w:p>
    <w:p>
      <w:pPr>
        <w:pStyle w:val="Compact"/>
        <w:numPr>
          <w:ilvl w:val="0"/>
          <w:numId w:val="1001"/>
        </w:numPr>
      </w:pPr>
      <w:r>
        <w:t xml:space="preserve">Do not reuse Python keywords such as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Prefer descriptive names:</w:t>
      </w:r>
      <w:r>
        <w:t xml:space="preserve"> </w:t>
      </w:r>
      <w:r>
        <w:rPr>
          <w:rStyle w:val="VerbatimChar"/>
        </w:rPr>
        <w:t xml:space="preserve">average_score</w:t>
      </w:r>
      <w:r>
        <w:t xml:space="preserve"> </w:t>
      </w:r>
      <w:r>
        <w:t xml:space="preserve">is clearer than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when space allows.</w:t>
      </w:r>
    </w:p>
    <w:bookmarkEnd w:id="13"/>
    <w:bookmarkStart w:id="14" w:name="pep-8-reminders"/>
    <w:p>
      <w:pPr>
        <w:pStyle w:val="Heading2"/>
      </w:pPr>
      <w:r>
        <w:t xml:space="preserve">PEP 8 reminders</w:t>
      </w:r>
    </w:p>
    <w:p>
      <w:pPr>
        <w:pStyle w:val="Compact"/>
        <w:numPr>
          <w:ilvl w:val="0"/>
          <w:numId w:val="1002"/>
        </w:numPr>
      </w:pPr>
      <w:r>
        <w:t xml:space="preserve">Choose names that reveal intent: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is clearer than</w:t>
      </w:r>
      <w:r>
        <w:t xml:space="preserve"> </w:t>
      </w:r>
      <w:r>
        <w:rPr>
          <w:rStyle w:val="VerbatimChar"/>
        </w:rPr>
        <w:t xml:space="preserve">flag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 verbs for actions:</w:t>
      </w:r>
      <w:r>
        <w:t xml:space="preserve"> </w:t>
      </w:r>
      <w:r>
        <w:rPr>
          <w:rStyle w:val="VerbatimChar"/>
        </w:rPr>
        <w:t xml:space="preserve">save_file()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calculate_total()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display_menu()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 nouns for values and objects: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shopping_cart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 boolean names that read like questions:</w:t>
      </w:r>
      <w:r>
        <w:t xml:space="preserve"> </w:t>
      </w:r>
      <w:r>
        <w:rPr>
          <w:rStyle w:val="VerbatimChar"/>
        </w:rPr>
        <w:t xml:space="preserve">is_valid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has_access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can_submit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Be consistent. A project using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 </w:t>
      </w:r>
      <w:r>
        <w:t xml:space="preserve">should not also use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.</w:t>
      </w:r>
    </w:p>
    <w:bookmarkEnd w:id="14"/>
    <w:bookmarkStart w:id="15" w:name="quick-practice"/>
    <w:p>
      <w:pPr>
        <w:pStyle w:val="Heading2"/>
      </w:pPr>
      <w:r>
        <w:t xml:space="preserve">Quick practice</w:t>
      </w:r>
    </w:p>
    <w:p>
      <w:pPr>
        <w:pStyle w:val="FirstParagraph"/>
      </w:pPr>
      <w:r>
        <w:t xml:space="preserve">Rewrite these names using Python conventions: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 clear or non-Python style</w:t>
            </w:r>
          </w:p>
        </w:tc>
        <w:tc>
          <w:tcPr/>
          <w:p>
            <w:pPr>
              <w:pStyle w:val="Compact"/>
            </w:pPr>
            <w:r>
              <w:t xml:space="preserve">Python-style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CalculateTotal()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calculate_total()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gradecalculator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GradeCalculator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consistent, descriptive names make code easier to read, debug, and maintain.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eps.python.org/pep-000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eps.python.org/pep-000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2026-08-31T14:00:40Z</dcterms:created>
  <dcterms:modified xsi:type="dcterms:W3CDTF">2026-08-31T14:00:40Z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