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76FF" w14:textId="77777777" w:rsidR="00D118BA" w:rsidRDefault="00000000">
      <w:pPr>
        <w:pStyle w:val="Heading1"/>
      </w:pPr>
      <w:r>
        <w:t>CFP Master Governance Document</w:t>
      </w:r>
    </w:p>
    <w:p w14:paraId="37A5C9E9" w14:textId="77777777" w:rsidR="00D118BA" w:rsidRDefault="00000000">
      <w:pPr>
        <w:pStyle w:val="Heading2"/>
      </w:pPr>
      <w:r>
        <w:t>NISCL — Narrative Intent Safety &amp; Clarity Layer</w:t>
      </w:r>
    </w:p>
    <w:p w14:paraId="6E3FCF1A" w14:textId="77777777" w:rsidR="00D118BA" w:rsidRDefault="00000000">
      <w:r>
        <w:t>This document collects governance requirements, safeguards, structural rules, and integration guidelines for the Cognitive Foundations Platform (CFP). It serves as a reference, architectural standard, and compliance audit record.</w:t>
      </w:r>
    </w:p>
    <w:p w14:paraId="20F90D7C" w14:textId="77777777" w:rsidR="00D118BA" w:rsidRDefault="00000000">
      <w:pPr>
        <w:pStyle w:val="Heading2"/>
      </w:pPr>
      <w:r>
        <w:t>Purpose of NISCL</w:t>
      </w:r>
    </w:p>
    <w:p w14:paraId="0D871D66" w14:textId="77777777" w:rsidR="00D118BA" w:rsidRDefault="00000000">
      <w:r>
        <w:t>NISCL ensures all narrative or conceptual outputs preserve clarity between human cognition and synthetic processing, prevent unintended anthropomorphism, and maintain human primacy. NISCL is a framework-wide governance layer.</w:t>
      </w:r>
    </w:p>
    <w:p w14:paraId="137F933F" w14:textId="77777777" w:rsidR="00D118BA" w:rsidRDefault="00000000">
      <w:pPr>
        <w:pStyle w:val="Heading2"/>
      </w:pPr>
      <w:r>
        <w:t>Diagram</w:t>
      </w:r>
    </w:p>
    <w:p w14:paraId="20408C6A" w14:textId="77777777" w:rsidR="00D118BA" w:rsidRDefault="00000000">
      <w:r>
        <w:rPr>
          <w:noProof/>
        </w:rPr>
        <w:drawing>
          <wp:inline distT="0" distB="0" distL="0" distR="0" wp14:anchorId="67577EA5" wp14:editId="22A26C5D">
            <wp:extent cx="4572000" cy="3611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SCL_arch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8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495702">
    <w:abstractNumId w:val="8"/>
  </w:num>
  <w:num w:numId="2" w16cid:durableId="995231059">
    <w:abstractNumId w:val="6"/>
  </w:num>
  <w:num w:numId="3" w16cid:durableId="1348292524">
    <w:abstractNumId w:val="5"/>
  </w:num>
  <w:num w:numId="4" w16cid:durableId="2139254505">
    <w:abstractNumId w:val="4"/>
  </w:num>
  <w:num w:numId="5" w16cid:durableId="1766070033">
    <w:abstractNumId w:val="7"/>
  </w:num>
  <w:num w:numId="6" w16cid:durableId="550726203">
    <w:abstractNumId w:val="3"/>
  </w:num>
  <w:num w:numId="7" w16cid:durableId="1582326867">
    <w:abstractNumId w:val="2"/>
  </w:num>
  <w:num w:numId="8" w16cid:durableId="2072000529">
    <w:abstractNumId w:val="1"/>
  </w:num>
  <w:num w:numId="9" w16cid:durableId="4877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B84"/>
    <w:rsid w:val="00326F90"/>
    <w:rsid w:val="00442033"/>
    <w:rsid w:val="00AA1D8D"/>
    <w:rsid w:val="00B47730"/>
    <w:rsid w:val="00CB0664"/>
    <w:rsid w:val="00D118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FB67E"/>
  <w14:defaultImageDpi w14:val="300"/>
  <w15:docId w15:val="{DFED195E-AD0B-49EC-A8B0-EF21D54D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2</cp:revision>
  <dcterms:created xsi:type="dcterms:W3CDTF">2025-11-13T21:44:00Z</dcterms:created>
  <dcterms:modified xsi:type="dcterms:W3CDTF">2025-11-13T21:44:00Z</dcterms:modified>
  <cp:category/>
</cp:coreProperties>
</file>