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B1" w:rsidRPr="002C48F7" w:rsidRDefault="000D55CF" w:rsidP="007106B1">
      <w:pPr>
        <w:pStyle w:val="1"/>
        <w:jc w:val="center"/>
        <w:rPr>
          <w:rFonts w:ascii="微软雅黑" w:eastAsia="微软雅黑" w:hAnsi="微软雅黑"/>
        </w:rPr>
      </w:pPr>
      <w:bookmarkStart w:id="0" w:name="_Toc375131008"/>
      <w:r w:rsidRPr="002C48F7">
        <w:rPr>
          <w:rFonts w:ascii="微软雅黑" w:eastAsia="微软雅黑" w:hAnsi="微软雅黑" w:hint="eastAsia"/>
        </w:rPr>
        <w:t>腾讯移动支付Midas营销活动接口</w:t>
      </w:r>
      <w:bookmarkEnd w:id="0"/>
    </w:p>
    <w:p w:rsidR="007106B1" w:rsidRPr="00D97970" w:rsidRDefault="007106B1" w:rsidP="00D97970">
      <w:pPr>
        <w:widowControl/>
        <w:jc w:val="left"/>
        <w:rPr>
          <w:rFonts w:ascii="微软雅黑" w:eastAsia="微软雅黑" w:hAnsi="微软雅黑"/>
        </w:rPr>
      </w:pPr>
      <w:r w:rsidRPr="002C48F7">
        <w:rPr>
          <w:rFonts w:ascii="微软雅黑" w:eastAsia="微软雅黑" w:hAnsi="微软雅黑"/>
        </w:rPr>
        <w:br w:type="page"/>
      </w:r>
    </w:p>
    <w:p w:rsidR="002C48F7" w:rsidRDefault="002C48F7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375131009"/>
      <w:r w:rsidRPr="002C48F7">
        <w:rPr>
          <w:rFonts w:ascii="微软雅黑" w:eastAsia="微软雅黑" w:hAnsi="微软雅黑" w:hint="eastAsia"/>
        </w:rPr>
        <w:lastRenderedPageBreak/>
        <w:t>流程说明</w:t>
      </w:r>
      <w:bookmarkEnd w:id="1"/>
    </w:p>
    <w:p w:rsidR="00880A6F" w:rsidRDefault="002D171D" w:rsidP="002D171D">
      <w:pPr>
        <w:ind w:left="840"/>
      </w:pPr>
      <w:r>
        <w:rPr>
          <w:rFonts w:hint="eastAsia"/>
        </w:rPr>
        <w:t>新增营销活动</w:t>
      </w:r>
      <w:r w:rsidR="005104B8">
        <w:rPr>
          <w:rFonts w:hint="eastAsia"/>
        </w:rPr>
        <w:t>时序</w:t>
      </w:r>
      <w:r>
        <w:rPr>
          <w:rFonts w:hint="eastAsia"/>
        </w:rPr>
        <w:t>如下图：</w:t>
      </w:r>
    </w:p>
    <w:p w:rsidR="003A6D96" w:rsidRDefault="005431E1" w:rsidP="00FE1C7F">
      <w:pPr>
        <w:ind w:left="840"/>
        <w:jc w:val="center"/>
      </w:pPr>
      <w:r>
        <w:rPr>
          <w:noProof/>
        </w:rPr>
        <w:drawing>
          <wp:inline distT="0" distB="0" distL="0" distR="0">
            <wp:extent cx="5274310" cy="428094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游戏sdk先通过游戏后台，调用支付后台的资格查询接口，查询用户是否有参加营销活动的资格。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若该用户有资格，则游戏sdk调用支付sdk指定渠道营销活动接口完成充值，此时需带上支付后台返回的活动类型和活动url。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若该用户没有资格，游戏仍想指定渠道充值，同样调用支付sdk营销活动接口（此时活动类型及活动url传null即可）。</w:t>
      </w:r>
    </w:p>
    <w:p w:rsidR="002A6864" w:rsidRPr="002A6864" w:rsidRDefault="002A6864" w:rsidP="002A6864">
      <w:pPr>
        <w:ind w:left="840" w:firstLine="420"/>
        <w:rPr>
          <w:rFonts w:ascii="微软雅黑" w:eastAsia="微软雅黑" w:hAnsi="微软雅黑"/>
        </w:rPr>
      </w:pPr>
      <w:r w:rsidRPr="002A6864">
        <w:rPr>
          <w:rFonts w:ascii="微软雅黑" w:eastAsia="微软雅黑" w:hAnsi="微软雅黑" w:hint="eastAsia"/>
        </w:rPr>
        <w:t>若游戏没有营销活动，也不指定充值渠道，</w:t>
      </w:r>
      <w:r w:rsidR="004A575C">
        <w:rPr>
          <w:rFonts w:ascii="微软雅黑" w:eastAsia="微软雅黑" w:hAnsi="微软雅黑" w:hint="eastAsia"/>
        </w:rPr>
        <w:t>或者想要拉起普通充值界面，</w:t>
      </w:r>
      <w:r w:rsidRPr="002A6864">
        <w:rPr>
          <w:rFonts w:ascii="微软雅黑" w:eastAsia="微软雅黑" w:hAnsi="微软雅黑" w:hint="eastAsia"/>
        </w:rPr>
        <w:t>则按照之前版本的协议使用支付sdk即可</w:t>
      </w:r>
      <w:r w:rsidR="009B4FCF">
        <w:rPr>
          <w:rFonts w:ascii="微软雅黑" w:eastAsia="微软雅黑" w:hAnsi="微软雅黑" w:hint="eastAsia"/>
        </w:rPr>
        <w:t>。</w:t>
      </w:r>
    </w:p>
    <w:p w:rsidR="00C1041A" w:rsidRPr="002C48F7" w:rsidRDefault="007106B1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75131010"/>
      <w:r w:rsidRPr="002C48F7">
        <w:rPr>
          <w:rFonts w:ascii="微软雅黑" w:eastAsia="微软雅黑" w:hAnsi="微软雅黑" w:hint="eastAsia"/>
        </w:rPr>
        <w:lastRenderedPageBreak/>
        <w:t>系统初始化</w:t>
      </w:r>
      <w:bookmarkEnd w:id="2"/>
    </w:p>
    <w:p w:rsidR="002C48F7" w:rsidRPr="002C48F7" w:rsidRDefault="002C48F7" w:rsidP="00FE1665">
      <w:pPr>
        <w:ind w:left="840" w:firstLine="420"/>
        <w:rPr>
          <w:rFonts w:ascii="微软雅黑" w:eastAsia="微软雅黑" w:hAnsi="微软雅黑"/>
        </w:rPr>
      </w:pPr>
      <w:r w:rsidRPr="002C48F7">
        <w:rPr>
          <w:rFonts w:ascii="微软雅黑" w:eastAsia="微软雅黑" w:hAnsi="微软雅黑" w:hint="eastAsia"/>
        </w:rPr>
        <w:t>同原初始化接口未改变，参看《腾讯移动支付Midas购买道具SDK白皮书(android版)》</w:t>
      </w:r>
      <w:r w:rsidR="00FE1665">
        <w:rPr>
          <w:rFonts w:ascii="微软雅黑" w:eastAsia="微软雅黑" w:hAnsi="微软雅黑" w:hint="eastAsia"/>
        </w:rPr>
        <w:t>或《</w:t>
      </w:r>
      <w:r w:rsidR="00FE1665" w:rsidRPr="00FE1665">
        <w:rPr>
          <w:rFonts w:ascii="微软雅黑" w:eastAsia="微软雅黑" w:hAnsi="微软雅黑" w:hint="eastAsia"/>
        </w:rPr>
        <w:t>腾讯移动支付Midas购买游戏币SDK白皮书(android版)</w:t>
      </w:r>
      <w:r w:rsidR="00FE1665">
        <w:rPr>
          <w:rFonts w:ascii="微软雅黑" w:eastAsia="微软雅黑" w:hAnsi="微软雅黑" w:hint="eastAsia"/>
        </w:rPr>
        <w:t>》</w:t>
      </w:r>
      <w:r w:rsidR="00F939A0">
        <w:rPr>
          <w:rFonts w:ascii="微软雅黑" w:eastAsia="微软雅黑" w:hAnsi="微软雅黑" w:hint="eastAsia"/>
        </w:rPr>
        <w:t>系统初始化</w:t>
      </w:r>
      <w:r w:rsidR="00FE1665">
        <w:rPr>
          <w:rFonts w:ascii="微软雅黑" w:eastAsia="微软雅黑" w:hAnsi="微软雅黑" w:hint="eastAsia"/>
        </w:rPr>
        <w:t>。</w:t>
      </w:r>
    </w:p>
    <w:p w:rsidR="002127D9" w:rsidRDefault="002127D9" w:rsidP="002127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375131011"/>
      <w:r w:rsidRPr="002C48F7"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 w:hint="eastAsia"/>
        </w:rPr>
        <w:t>游戏币</w:t>
      </w:r>
      <w:r w:rsidRPr="002C48F7">
        <w:rPr>
          <w:rFonts w:ascii="微软雅黑" w:eastAsia="微软雅黑" w:hAnsi="微软雅黑" w:hint="eastAsia"/>
        </w:rPr>
        <w:t>营销活动接口</w:t>
      </w:r>
      <w:bookmarkEnd w:id="3"/>
    </w:p>
    <w:p w:rsidR="00A63B84" w:rsidRDefault="00A63B84" w:rsidP="00A63B84">
      <w:pPr>
        <w:pStyle w:val="p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包名：</w:t>
      </w:r>
      <w:r>
        <w:rPr>
          <w:rFonts w:ascii="微软雅黑" w:eastAsia="微软雅黑" w:hAnsi="微软雅黑" w:hint="eastAsia"/>
        </w:rPr>
        <w:t>com.pay.api.APPayGameService</w:t>
      </w:r>
    </w:p>
    <w:p w:rsidR="00402B25" w:rsidRDefault="00402B25" w:rsidP="00402B25">
      <w:pPr>
        <w:pStyle w:val="p0"/>
        <w:spacing w:line="360" w:lineRule="auto"/>
        <w:ind w:firstLine="420"/>
        <w:rPr>
          <w:rFonts w:ascii="Courier New" w:hAnsi="Courier New" w:cs="Courier New"/>
          <w:color w:val="000000"/>
        </w:rPr>
      </w:pPr>
      <w:r>
        <w:rPr>
          <w:rFonts w:ascii="微软雅黑" w:eastAsia="微软雅黑" w:hAnsi="微软雅黑" w:hint="eastAsia"/>
          <w:b/>
          <w:bCs/>
        </w:rPr>
        <w:t>接口：</w:t>
      </w:r>
      <w:r>
        <w:rPr>
          <w:rFonts w:ascii="Courier New" w:hAnsi="Courier New" w:cs="Courier New"/>
          <w:b/>
          <w:bCs/>
          <w:color w:val="7F0055"/>
          <w:highlight w:val="white"/>
        </w:rPr>
        <w:t>public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F0055"/>
          <w:highlight w:val="white"/>
        </w:rPr>
        <w:t>static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F0055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 w:rsidR="003A3E40" w:rsidRPr="003A3E40">
        <w:rPr>
          <w:rFonts w:ascii="Courier New" w:hAnsi="Courier New" w:cs="Courier New"/>
          <w:color w:val="000000"/>
        </w:rPr>
        <w:t>LaunchMPSaveCurrencyView</w:t>
      </w:r>
      <w:r w:rsidR="003A3E40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(</w:t>
      </w:r>
    </w:p>
    <w:p w:rsidR="00402B25" w:rsidRDefault="00402B25" w:rsidP="00402B25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userId, String userKey,</w:t>
      </w:r>
    </w:p>
    <w:p w:rsidR="00402B25" w:rsidRDefault="00402B25" w:rsidP="00402B25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sessionId, String sessionType,</w:t>
      </w:r>
    </w:p>
    <w:p w:rsidR="00402B25" w:rsidRDefault="00402B25" w:rsidP="00402B25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String zoneId, String pf, String pfKey,</w:t>
      </w:r>
    </w:p>
    <w:p w:rsidR="00CD1B2E" w:rsidRDefault="00CD1B2E" w:rsidP="00402B25">
      <w:pPr>
        <w:pStyle w:val="p0"/>
        <w:spacing w:line="360" w:lineRule="auto"/>
        <w:ind w:left="840" w:firstLine="420"/>
        <w:rPr>
          <w:rFonts w:ascii="Courier New" w:hAnsi="Courier New" w:cs="Courier New"/>
          <w:color w:val="000000"/>
        </w:rPr>
      </w:pPr>
      <w:r w:rsidRPr="00CD1B2E">
        <w:rPr>
          <w:rFonts w:ascii="Courier New" w:hAnsi="Courier New" w:cs="Courier New"/>
          <w:color w:val="000000"/>
        </w:rPr>
        <w:t>String acctType, String saveValue, int gameCoinResId,</w:t>
      </w:r>
    </w:p>
    <w:p w:rsidR="00402B25" w:rsidRDefault="00402B25" w:rsidP="00CD1B2E">
      <w:pPr>
        <w:pStyle w:val="p0"/>
        <w:spacing w:line="360" w:lineRule="auto"/>
        <w:ind w:left="1260"/>
        <w:rPr>
          <w:rFonts w:ascii="宋体" w:hAnsi="宋体"/>
          <w:color w:val="000000"/>
        </w:rPr>
      </w:pPr>
      <w:r w:rsidRPr="00CD1B2E">
        <w:rPr>
          <w:rFonts w:ascii="Courier New" w:hAnsi="Courier New" w:cs="Courier New" w:hint="eastAsia"/>
          <w:color w:val="000000"/>
        </w:rPr>
        <w:t>Stri</w:t>
      </w:r>
      <w:r>
        <w:rPr>
          <w:rFonts w:ascii="宋体" w:hAnsi="宋体" w:hint="eastAsia"/>
          <w:color w:val="000000"/>
        </w:rPr>
        <w:t>ng payChannel,</w:t>
      </w:r>
      <w:r w:rsidR="00CD1B2E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St</w:t>
      </w:r>
      <w:r w:rsidRPr="00E821D8">
        <w:rPr>
          <w:rFonts w:ascii="Courier New" w:hAnsi="Courier New" w:cs="Courier New" w:hint="eastAsia"/>
          <w:color w:val="000000"/>
        </w:rPr>
        <w:t xml:space="preserve">ring </w:t>
      </w:r>
      <w:r w:rsidR="00E821D8" w:rsidRPr="00E821D8">
        <w:rPr>
          <w:rFonts w:ascii="Courier New" w:hAnsi="Courier New" w:cs="Courier New"/>
          <w:color w:val="000000"/>
        </w:rPr>
        <w:t>discount</w:t>
      </w:r>
      <w:r w:rsidR="00EC589C">
        <w:rPr>
          <w:rFonts w:ascii="Courier New" w:hAnsi="Courier New" w:cs="Courier New" w:hint="eastAsia"/>
          <w:color w:val="000000"/>
        </w:rPr>
        <w:t>T</w:t>
      </w:r>
      <w:r w:rsidR="00E821D8" w:rsidRPr="00E821D8">
        <w:rPr>
          <w:rFonts w:ascii="Courier New" w:hAnsi="Courier New" w:cs="Courier New"/>
          <w:color w:val="000000"/>
        </w:rPr>
        <w:t>ype</w:t>
      </w:r>
      <w:r w:rsidRPr="00E821D8">
        <w:rPr>
          <w:rFonts w:ascii="Courier New" w:hAnsi="Courier New" w:cs="Courier New" w:hint="eastAsia"/>
          <w:color w:val="000000"/>
        </w:rPr>
        <w:t>,  String discount</w:t>
      </w:r>
      <w:r w:rsidR="00E821D8" w:rsidRPr="00E821D8">
        <w:rPr>
          <w:rFonts w:ascii="Courier New" w:hAnsi="Courier New" w:cs="Courier New" w:hint="eastAsia"/>
          <w:color w:val="000000"/>
        </w:rPr>
        <w:t>Url</w:t>
      </w:r>
      <w:r w:rsidRPr="00E821D8">
        <w:rPr>
          <w:rFonts w:ascii="Courier New" w:hAnsi="Courier New" w:cs="Courier New" w:hint="eastAsia"/>
          <w:color w:val="000000"/>
        </w:rPr>
        <w:t>,  Stri</w:t>
      </w:r>
      <w:r>
        <w:rPr>
          <w:rFonts w:ascii="宋体" w:hAnsi="宋体" w:hint="eastAsia"/>
          <w:color w:val="000000"/>
        </w:rPr>
        <w:t>ng extras)</w:t>
      </w:r>
    </w:p>
    <w:p w:rsidR="009E7EC4" w:rsidRPr="004856E2" w:rsidRDefault="00A63B84" w:rsidP="004856E2">
      <w:pPr>
        <w:pStyle w:val="p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说明：</w:t>
      </w:r>
      <w:r w:rsidR="004856E2">
        <w:rPr>
          <w:rFonts w:ascii="微软雅黑" w:eastAsia="微软雅黑" w:hAnsi="微软雅黑" w:hint="eastAsia"/>
        </w:rPr>
        <w:t>开启指定渠道（支持：微信支付渠道、银行卡快捷支付渠道）购买游戏币界面， 专门用于营销活动购买游戏币，或指定渠道购买游戏币。</w:t>
      </w:r>
    </w:p>
    <w:p w:rsidR="00A63B84" w:rsidRDefault="00A63B84" w:rsidP="00A63B84">
      <w:pPr>
        <w:pStyle w:val="p0"/>
        <w:ind w:firstLine="42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参数：</w:t>
      </w:r>
    </w:p>
    <w:tbl>
      <w:tblPr>
        <w:tblW w:w="8748" w:type="dxa"/>
        <w:tblLayout w:type="fixed"/>
        <w:tblLook w:val="04A0"/>
      </w:tblPr>
      <w:tblGrid>
        <w:gridCol w:w="1526"/>
        <w:gridCol w:w="1198"/>
        <w:gridCol w:w="6024"/>
      </w:tblGrid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24CD2" w:rsidRDefault="00C24CD2" w:rsidP="001C6AEB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参数名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24CD2" w:rsidRDefault="00C24CD2" w:rsidP="001C6AEB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参数类型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24CD2" w:rsidRDefault="00C24CD2" w:rsidP="001C6AEB">
            <w:pPr>
              <w:pStyle w:val="p8"/>
              <w:spacing w:before="0" w:after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参数说明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24CD2" w:rsidRDefault="00C24CD2" w:rsidP="009E1CD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同未指定渠道的购买</w:t>
            </w:r>
            <w:r w:rsidR="009E1CDB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游戏币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接口一致，具体参看</w:t>
            </w:r>
            <w:r w:rsidRPr="001D756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《腾讯移动支付Midas购买</w:t>
            </w:r>
            <w:r w:rsidR="004D15F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游戏币</w:t>
            </w:r>
            <w:r w:rsidRPr="001D756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SDK白皮书(android版)》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userKey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24CD2" w:rsidTr="002972C5">
        <w:trPr>
          <w:trHeight w:val="42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sessionId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sessionType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pf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D1B2E" w:rsidTr="001C6AE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B2E" w:rsidRDefault="00CD1B2E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pfKey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B2E" w:rsidRDefault="00CD1B2E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1B2E" w:rsidRDefault="00CD1B2E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同上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9E7EC4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acctType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见3.2.1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9E7EC4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saveValue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EC4" w:rsidRDefault="009E7EC4">
            <w:pPr>
              <w:pStyle w:val="p0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用户充值数量，即游戏币的个数，只支持定额不可改</w:t>
            </w:r>
            <w:r w:rsidR="00D67C38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0049E0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8E16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lastRenderedPageBreak/>
              <w:t>gameCoinResId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int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0049E0" w:rsidP="002348D5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同未指定渠道的购买</w:t>
            </w:r>
            <w:r w:rsidR="002348D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游戏币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接口一致，具体参看</w:t>
            </w:r>
            <w:r w:rsidRPr="001D756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《腾讯移动支付Midas购买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游戏币</w:t>
            </w:r>
            <w:r w:rsidRPr="001D7561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SDK白皮书(android版)》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payChannel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指定的渠道、指定了支付渠道后，直接进入该渠道支付。</w:t>
            </w:r>
            <w:r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(必选)</w:t>
            </w:r>
          </w:p>
          <w:p w:rsidR="00C24CD2" w:rsidRDefault="00820CC0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payChannel</w:t>
            </w:r>
            <w:r w:rsidR="00C24CD2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取值：</w:t>
            </w:r>
          </w:p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APPayGameService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.</w:t>
            </w: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 xml:space="preserve"> PAY_CHANNEL_BANK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（银行卡快捷支付）；</w:t>
            </w:r>
          </w:p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APPayGameService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 xml:space="preserve">. </w:t>
            </w:r>
            <w:r w:rsidRPr="00DC372F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PAY_CHANNEL_WECHAT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（微信支付）,</w:t>
            </w:r>
          </w:p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其他渠道暂时不支持指定渠道支付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；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2972C5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0656B7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discount</w:t>
            </w:r>
            <w:r w:rsidR="002972C5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T</w:t>
            </w:r>
            <w:r w:rsidRPr="000656B7"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ype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营销活动类型。</w:t>
            </w:r>
            <w:r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可</w:t>
            </w:r>
            <w:r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选)</w:t>
            </w:r>
          </w:p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若有营销活动，则在这个字段中传递活动类型，该参数由查询资格后台接口返回。</w:t>
            </w:r>
          </w:p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若无营销活动，传null即可，则只是指定渠道，无营销信息展示；</w:t>
            </w:r>
          </w:p>
        </w:tc>
      </w:tr>
      <w:tr w:rsidR="00C24CD2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discountUrl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4CD2" w:rsidRDefault="00C24CD2" w:rsidP="001C6AEB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1F14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营销活动页面url。</w:t>
            </w:r>
            <w:r>
              <w:rPr>
                <w:rFonts w:ascii="微软雅黑" w:eastAsia="微软雅黑" w:hAnsi="微软雅黑" w:hint="eastAsia"/>
                <w:b/>
                <w:color w:val="FF0000"/>
                <w:kern w:val="2"/>
                <w:sz w:val="18"/>
                <w:szCs w:val="18"/>
                <w:highlight w:val="white"/>
              </w:rPr>
              <w:t>(可选)</w:t>
            </w:r>
          </w:p>
          <w:p w:rsidR="009A1F14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若有营销活动，则在这个字段中传递活动h5页面url，该参数查询资格后台接口返回。</w:t>
            </w:r>
          </w:p>
          <w:p w:rsidR="009A1F14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若业务想要指定活动页面的大小，可在url后面传递尺寸，参数如下，</w:t>
            </w:r>
          </w:p>
          <w:p w:rsidR="009A1F14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如：宽200dp，高300dp 则按照下面传递：</w:t>
            </w:r>
          </w:p>
          <w:p w:rsidR="009A1F14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url?mpwidth=200&amp;mpheight=300</w:t>
            </w:r>
          </w:p>
          <w:p w:rsidR="00C42E18" w:rsidRDefault="00C42E18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(若未传递</w:t>
            </w:r>
            <w:r w:rsidR="00CA5CBC"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mpwidth、mpheight</w:t>
            </w: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，默认宽</w:t>
            </w:r>
            <w:r w:rsidRPr="00C42E18"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  <w:t>460dp</w:t>
            </w: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，高</w:t>
            </w:r>
            <w:r w:rsidRPr="00C42E18"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  <w:highlight w:val="white"/>
              </w:rPr>
              <w:t>204dp</w:t>
            </w: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)</w:t>
            </w:r>
          </w:p>
          <w:p w:rsidR="00C24CD2" w:rsidRDefault="009A1F14" w:rsidP="009A1F14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18"/>
                <w:szCs w:val="18"/>
                <w:highlight w:val="white"/>
              </w:rPr>
              <w:t>若无营销活动，传null即可，则只是指定渠道，无营销信息展示。</w:t>
            </w:r>
          </w:p>
        </w:tc>
      </w:tr>
      <w:tr w:rsidR="00594E46" w:rsidTr="002972C5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 w:rsidRPr="00513F5E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extras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String</w:t>
            </w:r>
          </w:p>
        </w:tc>
        <w:tc>
          <w:tcPr>
            <w:tcW w:w="6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扩展字段，现用于区分入口，参数格式如下：</w:t>
            </w:r>
            <w:r w:rsidR="00891C2A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(</w:t>
            </w:r>
            <w:r w:rsidR="00891C2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可</w:t>
            </w:r>
            <w:r w:rsidR="00891C2A" w:rsidRPr="00DC372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  <w:highlight w:val="white"/>
              </w:rPr>
              <w:t>选)</w:t>
            </w:r>
          </w:p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offerid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AAA（offerid区分应用，AAA表示应用自定义的入口）</w:t>
            </w:r>
          </w:p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如斗地主有四个入口：</w:t>
            </w:r>
          </w:p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363.entry1</w:t>
            </w:r>
          </w:p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363.entry2</w:t>
            </w:r>
          </w:p>
          <w:p w:rsidR="00594E46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363.entry3</w:t>
            </w:r>
          </w:p>
          <w:p w:rsidR="00594E46" w:rsidRPr="005A2CC4" w:rsidRDefault="00594E46" w:rsidP="001240AD">
            <w:pPr>
              <w:pStyle w:val="p0"/>
              <w:snapToGrid w:val="0"/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white"/>
              </w:rPr>
              <w:t>363.entry4</w:t>
            </w:r>
          </w:p>
        </w:tc>
      </w:tr>
    </w:tbl>
    <w:p w:rsidR="004E4538" w:rsidRPr="00C24CD2" w:rsidRDefault="004E4538" w:rsidP="004E4538">
      <w:pPr>
        <w:ind w:left="510"/>
      </w:pPr>
    </w:p>
    <w:p w:rsidR="007106B1" w:rsidRPr="002C48F7" w:rsidRDefault="007106B1" w:rsidP="007106B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375131013"/>
      <w:r w:rsidRPr="002C48F7">
        <w:rPr>
          <w:rFonts w:ascii="微软雅黑" w:eastAsia="微软雅黑" w:hAnsi="微软雅黑" w:hint="eastAsia"/>
        </w:rPr>
        <w:t>回调</w:t>
      </w:r>
      <w:bookmarkEnd w:id="4"/>
    </w:p>
    <w:p w:rsidR="00F939A0" w:rsidRPr="00F939A0" w:rsidRDefault="00F939A0" w:rsidP="00F939A0">
      <w:pPr>
        <w:pStyle w:val="a5"/>
        <w:ind w:left="510" w:firstLineChars="0" w:firstLine="330"/>
        <w:rPr>
          <w:rFonts w:ascii="微软雅黑" w:eastAsia="微软雅黑" w:hAnsi="微软雅黑"/>
        </w:rPr>
      </w:pPr>
      <w:r w:rsidRPr="00F939A0">
        <w:rPr>
          <w:rFonts w:ascii="微软雅黑" w:eastAsia="微软雅黑" w:hAnsi="微软雅黑" w:hint="eastAsia"/>
        </w:rPr>
        <w:t>同原</w:t>
      </w:r>
      <w:r>
        <w:rPr>
          <w:rFonts w:ascii="微软雅黑" w:eastAsia="微软雅黑" w:hAnsi="微软雅黑" w:hint="eastAsia"/>
        </w:rPr>
        <w:t>充值回调</w:t>
      </w:r>
      <w:r w:rsidRPr="00F939A0">
        <w:rPr>
          <w:rFonts w:ascii="微软雅黑" w:eastAsia="微软雅黑" w:hAnsi="微软雅黑" w:hint="eastAsia"/>
        </w:rPr>
        <w:t>接口未改变，参看《腾讯移动支付Midas购买道具SDK白皮书(android版)》或《腾讯移动支付Midas购买游戏币SDK白皮书(android版)》</w:t>
      </w:r>
      <w:r>
        <w:rPr>
          <w:rFonts w:ascii="微软雅黑" w:eastAsia="微软雅黑" w:hAnsi="微软雅黑" w:hint="eastAsia"/>
        </w:rPr>
        <w:t>回调</w:t>
      </w:r>
      <w:r w:rsidRPr="00F939A0">
        <w:rPr>
          <w:rFonts w:ascii="微软雅黑" w:eastAsia="微软雅黑" w:hAnsi="微软雅黑" w:hint="eastAsia"/>
        </w:rPr>
        <w:t>。</w:t>
      </w:r>
    </w:p>
    <w:p w:rsidR="007106B1" w:rsidRPr="00F939A0" w:rsidRDefault="007106B1" w:rsidP="007106B1">
      <w:pPr>
        <w:rPr>
          <w:rFonts w:ascii="微软雅黑" w:eastAsia="微软雅黑" w:hAnsi="微软雅黑"/>
        </w:rPr>
      </w:pPr>
    </w:p>
    <w:sectPr w:rsidR="007106B1" w:rsidRPr="00F939A0" w:rsidSect="00C1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6EB" w:rsidRDefault="000076EB" w:rsidP="000D55CF">
      <w:r>
        <w:separator/>
      </w:r>
    </w:p>
  </w:endnote>
  <w:endnote w:type="continuationSeparator" w:id="1">
    <w:p w:rsidR="000076EB" w:rsidRDefault="000076EB" w:rsidP="000D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6EB" w:rsidRDefault="000076EB" w:rsidP="000D55CF">
      <w:r>
        <w:separator/>
      </w:r>
    </w:p>
  </w:footnote>
  <w:footnote w:type="continuationSeparator" w:id="1">
    <w:p w:rsidR="000076EB" w:rsidRDefault="000076EB" w:rsidP="000D5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7CFF"/>
    <w:multiLevelType w:val="hybridMultilevel"/>
    <w:tmpl w:val="BE60F5EE"/>
    <w:lvl w:ilvl="0" w:tplc="6E1A3E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5CF"/>
    <w:rsid w:val="000049E0"/>
    <w:rsid w:val="000076EB"/>
    <w:rsid w:val="000656B7"/>
    <w:rsid w:val="00094C06"/>
    <w:rsid w:val="000A013A"/>
    <w:rsid w:val="000D55CF"/>
    <w:rsid w:val="000E6A0E"/>
    <w:rsid w:val="00183CE9"/>
    <w:rsid w:val="00183D99"/>
    <w:rsid w:val="001D7561"/>
    <w:rsid w:val="002127D9"/>
    <w:rsid w:val="002348D5"/>
    <w:rsid w:val="002972C5"/>
    <w:rsid w:val="002A6864"/>
    <w:rsid w:val="002C48F7"/>
    <w:rsid w:val="002D171D"/>
    <w:rsid w:val="002E2F39"/>
    <w:rsid w:val="002E7CCA"/>
    <w:rsid w:val="00343CF0"/>
    <w:rsid w:val="003745F2"/>
    <w:rsid w:val="003A3E40"/>
    <w:rsid w:val="003A5BAA"/>
    <w:rsid w:val="003A5ED0"/>
    <w:rsid w:val="003A6D96"/>
    <w:rsid w:val="003B4885"/>
    <w:rsid w:val="003D5C53"/>
    <w:rsid w:val="00402B25"/>
    <w:rsid w:val="00414183"/>
    <w:rsid w:val="00427E9B"/>
    <w:rsid w:val="004307A2"/>
    <w:rsid w:val="00451D3A"/>
    <w:rsid w:val="004856E2"/>
    <w:rsid w:val="004A1565"/>
    <w:rsid w:val="004A575C"/>
    <w:rsid w:val="004D15FF"/>
    <w:rsid w:val="004E4538"/>
    <w:rsid w:val="004F26E2"/>
    <w:rsid w:val="005104B8"/>
    <w:rsid w:val="00513F5E"/>
    <w:rsid w:val="005431E1"/>
    <w:rsid w:val="00594E46"/>
    <w:rsid w:val="005A2CC4"/>
    <w:rsid w:val="005B6F05"/>
    <w:rsid w:val="005D7122"/>
    <w:rsid w:val="0061066F"/>
    <w:rsid w:val="007106B1"/>
    <w:rsid w:val="00713120"/>
    <w:rsid w:val="00781F44"/>
    <w:rsid w:val="007A1EB5"/>
    <w:rsid w:val="007F37F1"/>
    <w:rsid w:val="007F4685"/>
    <w:rsid w:val="00820CC0"/>
    <w:rsid w:val="00880A6F"/>
    <w:rsid w:val="00883206"/>
    <w:rsid w:val="00891C2A"/>
    <w:rsid w:val="008E162F"/>
    <w:rsid w:val="00990841"/>
    <w:rsid w:val="009A1F14"/>
    <w:rsid w:val="009B2E98"/>
    <w:rsid w:val="009B4FCF"/>
    <w:rsid w:val="009E1CDB"/>
    <w:rsid w:val="009E7EC4"/>
    <w:rsid w:val="00A63B84"/>
    <w:rsid w:val="00AB4F56"/>
    <w:rsid w:val="00B11FB9"/>
    <w:rsid w:val="00B14D61"/>
    <w:rsid w:val="00B339C9"/>
    <w:rsid w:val="00BD7622"/>
    <w:rsid w:val="00BF77D7"/>
    <w:rsid w:val="00C1041A"/>
    <w:rsid w:val="00C24CD2"/>
    <w:rsid w:val="00C42E18"/>
    <w:rsid w:val="00C751F9"/>
    <w:rsid w:val="00CA5CBC"/>
    <w:rsid w:val="00CD1B2E"/>
    <w:rsid w:val="00CF4A1D"/>
    <w:rsid w:val="00D06504"/>
    <w:rsid w:val="00D31790"/>
    <w:rsid w:val="00D57B4B"/>
    <w:rsid w:val="00D67C38"/>
    <w:rsid w:val="00D97970"/>
    <w:rsid w:val="00DB6C22"/>
    <w:rsid w:val="00DC372F"/>
    <w:rsid w:val="00DE369E"/>
    <w:rsid w:val="00E00BBA"/>
    <w:rsid w:val="00E35F8F"/>
    <w:rsid w:val="00E821D8"/>
    <w:rsid w:val="00EB71CC"/>
    <w:rsid w:val="00EC589C"/>
    <w:rsid w:val="00F604AF"/>
    <w:rsid w:val="00F939A0"/>
    <w:rsid w:val="00F93EA2"/>
    <w:rsid w:val="00FE1665"/>
    <w:rsid w:val="00FE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4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5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5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6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6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06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E4538"/>
    <w:rPr>
      <w:b/>
      <w:bCs/>
      <w:sz w:val="32"/>
      <w:szCs w:val="32"/>
    </w:rPr>
  </w:style>
  <w:style w:type="paragraph" w:customStyle="1" w:styleId="p0">
    <w:name w:val="p0"/>
    <w:basedOn w:val="a"/>
    <w:rsid w:val="004E453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8">
    <w:name w:val="p8"/>
    <w:basedOn w:val="a"/>
    <w:rsid w:val="004E4538"/>
    <w:pPr>
      <w:widowControl/>
      <w:spacing w:before="240" w:after="64" w:line="316" w:lineRule="auto"/>
      <w:ind w:left="1440" w:hanging="1440"/>
    </w:pPr>
    <w:rPr>
      <w:rFonts w:ascii="Arial" w:eastAsia="宋体" w:hAnsi="Arial" w:cs="Arial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A6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6D9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979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7970"/>
  </w:style>
  <w:style w:type="paragraph" w:styleId="20">
    <w:name w:val="toc 2"/>
    <w:basedOn w:val="a"/>
    <w:next w:val="a"/>
    <w:autoRedefine/>
    <w:uiPriority w:val="39"/>
    <w:unhideWhenUsed/>
    <w:rsid w:val="00D97970"/>
    <w:pPr>
      <w:ind w:leftChars="200" w:left="420"/>
    </w:pPr>
  </w:style>
  <w:style w:type="character" w:styleId="a7">
    <w:name w:val="Hyperlink"/>
    <w:basedOn w:val="a0"/>
    <w:uiPriority w:val="99"/>
    <w:unhideWhenUsed/>
    <w:rsid w:val="00D979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32F9-17AE-4FE8-80D7-D71C786C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273</Words>
  <Characters>1562</Characters>
  <Application>Microsoft Office Word</Application>
  <DocSecurity>0</DocSecurity>
  <Lines>13</Lines>
  <Paragraphs>3</Paragraphs>
  <ScaleCrop>false</ScaleCrop>
  <Company>Lenovo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starlightli</dc:creator>
  <cp:keywords/>
  <dc:description/>
  <cp:lastModifiedBy>starlightli</cp:lastModifiedBy>
  <cp:revision>70</cp:revision>
  <dcterms:created xsi:type="dcterms:W3CDTF">2013-12-16T12:22:00Z</dcterms:created>
  <dcterms:modified xsi:type="dcterms:W3CDTF">2014-01-03T09:25:00Z</dcterms:modified>
</cp:coreProperties>
</file>