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3D6B"/>
          <w:sz w:val="48"/>
          <w:szCs w:val="48"/>
        </w:rPr>
        <w:t xml:space="preserve">BLUESIDE DIGITAL</w:t>
      </w:r>
    </w:p>
    <w:p>
      <w:pPr>
        <w:spacing w:after="120" w:before="0"/>
      </w:pPr>
      <w:r>
        <w:rPr>
          <w:rFonts w:ascii="Arial" w:cs="Arial" w:eastAsia="Arial" w:hAnsi="Arial"/>
          <w:color w:val="555555"/>
          <w:sz w:val="26"/>
          <w:szCs w:val="26"/>
        </w:rPr>
        <w:t xml:space="preserve">Healthcare Web Accessibility Audit Initiative  |  April - May 2026</w:t>
      </w:r>
    </w:p>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Overview</w:t>
      </w:r>
    </w:p>
    <w:p>
      <w:pPr>
        <w:spacing w:after="80" w:before="80"/>
      </w:pPr>
      <w:r>
        <w:rPr>
          <w:rFonts w:ascii="Arial" w:cs="Arial" w:eastAsia="Arial" w:hAnsi="Arial"/>
          <w:sz w:val="22"/>
          <w:szCs w:val="22"/>
        </w:rPr>
        <w:t xml:space="preserve">Between April and May 2026, Blueside Digital conducted independent WCAG 2.1 Level AA accessibility audits across more than 30 independent healthcare practice websites nationwide. Audits were conducted using the WAVE Web Accessibility Evaluation Tool by WebAIM, supplemented by manual structural review. Sites were scored using the AIM (Accessibility Index Measure) scale of 0-10.</w:t>
      </w:r>
    </w:p>
    <w:p>
      <w:pPr>
        <w:spacing w:after="120" w:before="120"/>
      </w:pPr>
      <w:r>
        <w:t xml:space="preserve"/>
      </w:r>
    </w:p>
    <w:p>
      <w:pPr>
        <w:spacing w:after="80" w:before="80"/>
      </w:pPr>
      <w:r>
        <w:rPr>
          <w:rFonts w:ascii="Arial" w:cs="Arial" w:eastAsia="Arial" w:hAnsi="Arial"/>
          <w:sz w:val="22"/>
          <w:szCs w:val="22"/>
        </w:rPr>
        <w:t xml:space="preserve">The initiative coincided with the HHS Section 504 compliance window. Sites were selected based on the following criteria: independent or physician-owned practices with 15 or more employees accepting Medicare or Medicaid, with active public-facing websites in scope for WCAG 2.1 AA conformance obligations.</w:t>
      </w:r>
    </w:p>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Section 1: Critical Non-Compliance Findings</w:t>
      </w:r>
    </w:p>
    <w:p>
      <w:pPr>
        <w:spacing w:after="80" w:before="80"/>
      </w:pPr>
      <w:r>
        <w:rPr>
          <w:rFonts w:ascii="Arial" w:cs="Arial" w:eastAsia="Arial" w:hAnsi="Arial"/>
          <w:sz w:val="22"/>
          <w:szCs w:val="22"/>
        </w:rPr>
        <w:t xml:space="preserve">The following organizations were identified with significant WCAG 2.1 failures across structural errors, contrast failures, and assistive technology compatibility issues.</w:t>
      </w:r>
    </w:p>
    <w:p>
      <w:pPr>
        <w:spacing w:after="120" w:before="120"/>
      </w:pPr>
      <w:r>
        <w:t xml:space="preserve"/>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600"/>
        <w:gridCol w:w="700"/>
        <w:gridCol w:w="4460"/>
      </w:tblGrid>
      <w:tr>
        <w:trPr>
          <w:tblHeader/>
        </w:trPr>
        <w:tc>
          <w:tcPr>
            <w:tcW w:type="dxa" w:w="16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Specialty</w:t>
            </w:r>
          </w:p>
        </w:tc>
        <w:tc>
          <w:tcPr>
            <w:tcW w:type="dxa" w:w="10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Region</w:t>
            </w:r>
          </w:p>
        </w:tc>
        <w:tc>
          <w:tcPr>
            <w:tcW w:type="dxa" w:w="6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AIM</w:t>
            </w:r>
          </w:p>
        </w:tc>
        <w:tc>
          <w:tcPr>
            <w:tcW w:type="dxa" w:w="6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Errors</w:t>
            </w:r>
          </w:p>
        </w:tc>
        <w:tc>
          <w:tcPr>
            <w:tcW w:type="dxa" w:w="7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Contrast</w:t>
            </w:r>
          </w:p>
        </w:tc>
        <w:tc>
          <w:tcPr>
            <w:tcW w:type="dxa" w:w="446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Key Findings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Multi-specialty primary care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83 empty links, missing alt text, missing form label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Cardiovascular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4.7</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8</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5 missing form labels, 5 broken ARIA menus, new patient portal non-compliant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Ophthalmology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Scan error indicating screen reader incompatibility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Dermatology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40</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40 contrast failures, scan error suggesting DOM-level issues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Gastroenterology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England, MA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86 contrast failures, missing form labels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Multi-specialty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Northeast, NY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5.2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16</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9 empty links, missing form label, missing alt 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Multi-specialty primary care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Southwest, AZ</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linked images missing alt text, empty button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Gastroenterology/Hepatology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Southeast, NC</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57</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184</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45 empty links, 10 missing alt text, missing form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Multi-specialty primary care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Southeast, FL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28</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 empty links, 10 missing alt text, scan error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Dermatology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Midwest, OH/MI</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28</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31 missing alt text, empty link, missing form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Oncology/Hematology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Midwest, MI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Structural navigation failures, missing form labels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Women's health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Southwest, TX</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2.0</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50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53</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40 linked images missing alt text, missing form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Nephrology/Endocrinology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Mountain West, NV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Empty buttons, empty links, missing form labels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Nephrology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Mid-Atlantic, MD</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31</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Missing alt text, linked images missing alt text, language attribute missing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Audiology/Hearing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Mid-Atlantic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Empty headings, empty links, contrast failures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Oncology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Southeast, NC</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14</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22</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Empty links, missing form labels, ARIA issues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Internal Medicine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Mid-Atlantic, NC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Contrast failures throughout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Multi-specialty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6.2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15</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Missing form label, missing alt text, contrast failures</w:t>
            </w:r>
          </w:p>
        </w:tc>
      </w:tr>
    </w:tbl>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Section 2: Significant Findings - Contact Unavailable</w:t>
      </w:r>
    </w:p>
    <w:p>
      <w:pPr>
        <w:spacing w:after="80" w:before="80"/>
      </w:pPr>
      <w:r>
        <w:rPr>
          <w:rFonts w:ascii="Arial" w:cs="Arial" w:eastAsia="Arial" w:hAnsi="Arial"/>
          <w:sz w:val="22"/>
          <w:szCs w:val="22"/>
        </w:rPr>
        <w:t xml:space="preserve">The following sites demonstrated significant WCAG 2.1 failures but decision-maker contacts could not be identified through available research methods.</w:t>
      </w:r>
    </w:p>
    <w:p>
      <w:pPr>
        <w:spacing w:after="120" w:before="120"/>
      </w:pPr>
      <w:r>
        <w:t xml:space="preserve"/>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600"/>
        <w:gridCol w:w="700"/>
        <w:gridCol w:w="4460"/>
      </w:tblGrid>
      <w:tr>
        <w:trPr>
          <w:tblHeader/>
        </w:trPr>
        <w:tc>
          <w:tcPr>
            <w:tcW w:type="dxa" w:w="16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Specialty</w:t>
            </w:r>
          </w:p>
        </w:tc>
        <w:tc>
          <w:tcPr>
            <w:tcW w:type="dxa" w:w="10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Region</w:t>
            </w:r>
          </w:p>
        </w:tc>
        <w:tc>
          <w:tcPr>
            <w:tcW w:type="dxa" w:w="6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AIM</w:t>
            </w:r>
          </w:p>
        </w:tc>
        <w:tc>
          <w:tcPr>
            <w:tcW w:type="dxa" w:w="6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Errors</w:t>
            </w:r>
          </w:p>
        </w:tc>
        <w:tc>
          <w:tcPr>
            <w:tcW w:type="dxa" w:w="7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Contrast</w:t>
            </w:r>
          </w:p>
        </w:tc>
        <w:tc>
          <w:tcPr>
            <w:tcW w:type="dxa" w:w="446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Key Findings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Gastroenterology network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Mid-Atlantic, PA/DE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 empty links, missing form label, missing alt text. Active data breach notice on homepage.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Multi-specialty primary care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New England, MA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94</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94 contrast failures, empty links. Site tagline: 'Making High-Quality Healthcare Accessible for 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care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Northeast, RI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 empty links, missing form label, contrast failures.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Orthopedic</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27</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Empty headings, empty buttons, empty links, contrast failures.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Cardiology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Southwest, AZ</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 contrast failures, scan error. Data security incident banner on homepage.</w:t>
            </w:r>
          </w:p>
        </w:tc>
      </w:tr>
    </w:tbl>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Section 3: Contrast-Only Failures</w:t>
      </w:r>
    </w:p>
    <w:p>
      <w:pPr>
        <w:spacing w:after="80" w:before="80"/>
      </w:pPr>
      <w:r>
        <w:rPr>
          <w:rFonts w:ascii="Arial" w:cs="Arial" w:eastAsia="Arial" w:hAnsi="Arial"/>
          <w:sz w:val="22"/>
          <w:szCs w:val="22"/>
        </w:rPr>
        <w:t xml:space="preserve">The following sites presented primarily contrast-ratio failures without significant structural WCAG errors. All sites remain non-compliant with the WCAG 2.1 AA color contrast requirement of 4.5:1 minimum ratio for normal text.</w:t>
      </w:r>
    </w:p>
    <w:p>
      <w:pPr>
        <w:spacing w:after="120" w:before="120"/>
      </w:pPr>
      <w:r>
        <w:t xml:space="preserve"/>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700"/>
        <w:gridCol w:w="4060"/>
      </w:tblGrid>
      <w:tr>
        <w:trPr>
          <w:tblHeader/>
        </w:trPr>
        <w:tc>
          <w:tcPr>
            <w:tcW w:type="dxa" w:w="16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Specialty</w:t>
            </w:r>
          </w:p>
        </w:tc>
        <w:tc>
          <w:tcPr>
            <w:tcW w:type="dxa" w:w="12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Region</w:t>
            </w:r>
          </w:p>
        </w:tc>
        <w:tc>
          <w:tcPr>
            <w:tcW w:type="dxa" w:w="7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AIM</w:t>
            </w:r>
          </w:p>
        </w:tc>
        <w:tc>
          <w:tcPr>
            <w:tcW w:type="dxa" w:w="7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Errors</w:t>
            </w:r>
          </w:p>
        </w:tc>
        <w:tc>
          <w:tcPr>
            <w:tcW w:type="dxa" w:w="7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Contrast</w:t>
            </w:r>
          </w:p>
        </w:tc>
        <w:tc>
          <w:tcPr>
            <w:tcW w:type="dxa" w:w="406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Cardiovascular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Southeast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Scan error alongside 51 contrast failures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Internal Medicine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Mid-Atlantic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33</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Pure contrast failures, no structural errors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Orthopedic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Southeast, FL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Contrast only, borderline score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Gastroenterology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Southeast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5.8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12</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Minimal errors, contrast dominant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Multi-specialty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Southeast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Near-compliant but contrast failures present</w:t>
            </w:r>
          </w:p>
        </w:tc>
      </w:tr>
    </w:tbl>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Section 4: Compliant Sites</w:t>
      </w:r>
    </w:p>
    <w:p>
      <w:pPr>
        <w:spacing w:after="80" w:before="80"/>
      </w:pPr>
      <w:r>
        <w:rPr>
          <w:rFonts w:ascii="Arial" w:cs="Arial" w:eastAsia="Arial" w:hAnsi="Arial"/>
          <w:sz w:val="22"/>
          <w:szCs w:val="22"/>
        </w:rPr>
        <w:t xml:space="preserve">Approximately 25% of sites audited demonstrated strong WCAG 2.1 compliance, confirming that conformance is achievable at the independent practice level without a full redesign.</w:t>
      </w:r>
    </w:p>
    <w:p>
      <w:pPr>
        <w:spacing w:after="120" w:before="120"/>
      </w:pPr>
      <w:r>
        <w:t xml:space="preserve"/>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800"/>
        <w:gridCol w:w="900"/>
        <w:gridCol w:w="4760"/>
      </w:tblGrid>
      <w:tr>
        <w:trPr>
          <w:tblHeader/>
        </w:trPr>
        <w:tc>
          <w:tcPr>
            <w:tcW w:type="dxa" w:w="16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Specialty</w:t>
            </w:r>
          </w:p>
        </w:tc>
        <w:tc>
          <w:tcPr>
            <w:tcW w:type="dxa" w:w="14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Region</w:t>
            </w:r>
          </w:p>
        </w:tc>
        <w:tc>
          <w:tcPr>
            <w:tcW w:type="dxa" w:w="8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AIM Score</w:t>
            </w:r>
          </w:p>
        </w:tc>
        <w:tc>
          <w:tcPr>
            <w:tcW w:type="dxa" w:w="90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c>
          <w:tcPr>
            <w:tcW w:type="dxa" w:w="4760"/>
            <w:tcBorders>
              <w:top w:val="single" w:color="0D3D6B" w:sz="1"/>
              <w:left w:val="single" w:color="0D3D6B" w:sz="1"/>
              <w:bottom w:val="single" w:color="0D3D6B" w:sz="1"/>
              <w:right w:val="single" w:color="0D3D6B" w:sz="1"/>
            </w:tcBorders>
            <w:shd w:fill="0D3D6B" w:val="clear"/>
            <w:tcMar>
              <w:top w:type="dxa" w:w="100"/>
              <w:left w:type="dxa" w:w="120"/>
              <w:bottom w:type="dxa" w:w="100"/>
              <w:right w:type="dxa" w:w="120"/>
            </w:tcMar>
            <w:vAlign w:val="cente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Gastroenterology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WCAG 2.1 AA conformant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Internal Medicine/Rheumatology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9.9</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Best score observed across all audits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Multi-specialty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Mid-Atlantic, MD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compliance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Orthopedic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Southeast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7.9</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Above threshold, minor alerts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Women's health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Mid-Atlantic, 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compliance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Dermatology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Southeast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8.6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Above threshold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Cardiovascular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Southeast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Above threshold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Multi-specialty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Midwest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7.5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Above threshold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care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Southeast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Compliant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Above threshold</w:t>
            </w:r>
          </w:p>
        </w:tc>
      </w:tr>
    </w:tbl>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Key Findings</w:t>
      </w:r>
    </w:p>
    <w:p>
      <w:pPr>
        <w:spacing w:after="80" w:before="80"/>
      </w:pPr>
      <w:r>
        <w:rPr>
          <w:rFonts w:ascii="Arial" w:cs="Arial" w:eastAsia="Arial" w:hAnsi="Arial"/>
          <w:b/>
          <w:bCs/>
          <w:sz w:val="22"/>
          <w:szCs w:val="22"/>
        </w:rPr>
        <w:t xml:space="preserve">Average AIM Score across non-compliant sites: 3.7 out of 10</w:t>
      </w:r>
    </w:p>
    <w:p>
      <w:pPr>
        <w:spacing w:after="80" w:before="80"/>
      </w:pPr>
      <w:r>
        <w:rPr>
          <w:rFonts w:ascii="Arial" w:cs="Arial" w:eastAsia="Arial" w:hAnsi="Arial"/>
          <w:sz w:val="22"/>
          <w:szCs w:val="22"/>
        </w:rPr>
        <w:t xml:space="preserve">No site in the critical findings category achieved a passing score. Several fell below 2.0.</w:t>
      </w:r>
    </w:p>
    <w:p>
      <w:pPr>
        <w:spacing w:after="120" w:before="120"/>
      </w:pPr>
      <w:r>
        <w:t xml:space="preserve"/>
      </w:r>
    </w:p>
    <w:p>
      <w:pPr>
        <w:pStyle w:val="Heading2"/>
        <w:spacing w:after="120" w:before="240"/>
      </w:pPr>
      <w:r>
        <w:rPr>
          <w:rFonts w:ascii="Arial" w:cs="Arial" w:eastAsia="Arial" w:hAnsi="Arial"/>
          <w:b/>
          <w:bCs/>
          <w:color w:val="0D3D6B"/>
          <w:sz w:val="26"/>
          <w:szCs w:val="26"/>
        </w:rPr>
        <w:t xml:space="preserve">Most Common WCAG 2.1 Failures</w:t>
      </w:r>
    </w:p>
    <w:p>
      <w:pPr>
        <w:pStyle w:val="ListParagraph"/>
        <w:numPr>
          <w:ilvl w:val="0"/>
          <w:numId w:val="2"/>
        </w:numPr>
        <w:spacing w:after="60" w:before="60"/>
      </w:pPr>
      <w:r>
        <w:rPr>
          <w:rFonts w:ascii="Arial" w:cs="Arial" w:eastAsia="Arial" w:hAnsi="Arial"/>
          <w:sz w:val="22"/>
          <w:szCs w:val="22"/>
        </w:rPr>
        <w:t xml:space="preserve">Empty anchor elements (present in 14 of 18 critical sites) - breaks screen reader navigation entirely</w:t>
      </w:r>
    </w:p>
    <w:p>
      <w:pPr>
        <w:pStyle w:val="ListParagraph"/>
        <w:numPr>
          <w:ilvl w:val="0"/>
          <w:numId w:val="2"/>
        </w:numPr>
        <w:spacing w:after="60" w:before="60"/>
      </w:pPr>
      <w:r>
        <w:rPr>
          <w:rFonts w:ascii="Arial" w:cs="Arial" w:eastAsia="Arial" w:hAnsi="Arial"/>
          <w:sz w:val="22"/>
          <w:szCs w:val="22"/>
        </w:rPr>
        <w:t xml:space="preserve">Missing programmatic form labels (present in 15 of 18) - patient portals and appointment forms inaccessible to assistive technology</w:t>
      </w:r>
    </w:p>
    <w:p>
      <w:pPr>
        <w:pStyle w:val="ListParagraph"/>
        <w:numPr>
          <w:ilvl w:val="0"/>
          <w:numId w:val="2"/>
        </w:numPr>
        <w:spacing w:after="60" w:before="60"/>
      </w:pPr>
      <w:r>
        <w:rPr>
          <w:rFonts w:ascii="Arial" w:cs="Arial" w:eastAsia="Arial" w:hAnsi="Arial"/>
          <w:sz w:val="22"/>
          <w:szCs w:val="22"/>
        </w:rPr>
        <w:t xml:space="preserve">Images missing alternative text (present in 11 of 18) - visually impaired patients cannot navigate image-based links</w:t>
      </w:r>
    </w:p>
    <w:p>
      <w:pPr>
        <w:pStyle w:val="ListParagraph"/>
        <w:numPr>
          <w:ilvl w:val="0"/>
          <w:numId w:val="2"/>
        </w:numPr>
        <w:spacing w:after="60" w:before="60"/>
      </w:pPr>
      <w:r>
        <w:rPr>
          <w:rFonts w:ascii="Arial" w:cs="Arial" w:eastAsia="Arial" w:hAnsi="Arial"/>
          <w:sz w:val="22"/>
          <w:szCs w:val="22"/>
        </w:rPr>
        <w:t xml:space="preserve">Insufficient color contrast (present across all non-compliant sites) - fails the 4.5:1 minimum ratio for normal text</w:t>
      </w:r>
    </w:p>
    <w:p>
      <w:pPr>
        <w:pStyle w:val="ListParagraph"/>
        <w:numPr>
          <w:ilvl w:val="0"/>
          <w:numId w:val="2"/>
        </w:numPr>
        <w:spacing w:after="60" w:before="60"/>
      </w:pPr>
      <w:r>
        <w:rPr>
          <w:rFonts w:ascii="Arial" w:cs="Arial" w:eastAsia="Arial" w:hAnsi="Arial"/>
          <w:sz w:val="22"/>
          <w:szCs w:val="22"/>
        </w:rPr>
        <w:t xml:space="preserve">JavaScript synchronization errors (present in 6 sites) - indicates likely screen reader incompatibility at the DOM level</w:t>
      </w:r>
    </w:p>
    <w:p>
      <w:pPr>
        <w:spacing w:after="120" w:before="120"/>
      </w:pPr>
      <w:r>
        <w:t xml:space="preserve"/>
      </w:r>
    </w:p>
    <w:p>
      <w:pPr>
        <w:pStyle w:val="Heading2"/>
        <w:spacing w:after="120" w:before="240"/>
      </w:pPr>
      <w:r>
        <w:rPr>
          <w:rFonts w:ascii="Arial" w:cs="Arial" w:eastAsia="Arial" w:hAnsi="Arial"/>
          <w:b/>
          <w:bCs/>
          <w:color w:val="0D3D6B"/>
          <w:sz w:val="26"/>
          <w:szCs w:val="26"/>
        </w:rPr>
        <w:t xml:space="preserve">Notable Observations</w:t>
      </w:r>
    </w:p>
    <w:p>
      <w:pPr>
        <w:pStyle w:val="ListParagraph"/>
        <w:numPr>
          <w:ilvl w:val="0"/>
          <w:numId w:val="2"/>
        </w:numPr>
        <w:spacing w:after="60" w:before="60"/>
      </w:pPr>
      <w:r>
        <w:rPr>
          <w:rFonts w:ascii="Arial" w:cs="Arial" w:eastAsia="Arial" w:hAnsi="Arial"/>
          <w:sz w:val="22"/>
          <w:szCs w:val="22"/>
        </w:rPr>
        <w:t xml:space="preserve">Two sites displayed active data security incident notices alongside significant accessibility failures</w:t>
      </w:r>
    </w:p>
    <w:p>
      <w:pPr>
        <w:pStyle w:val="ListParagraph"/>
        <w:numPr>
          <w:ilvl w:val="0"/>
          <w:numId w:val="2"/>
        </w:numPr>
        <w:spacing w:after="60" w:before="60"/>
      </w:pPr>
      <w:r>
        <w:rPr>
          <w:rFonts w:ascii="Arial" w:cs="Arial" w:eastAsia="Arial" w:hAnsi="Arial"/>
          <w:sz w:val="22"/>
          <w:szCs w:val="22"/>
        </w:rPr>
        <w:t xml:space="preserve">One practice with the tagline 'Making High-Quality Healthcare Accessible for All' scored 3.3 AIM with 94 contrast failures</w:t>
      </w:r>
    </w:p>
    <w:p>
      <w:pPr>
        <w:pStyle w:val="ListParagraph"/>
        <w:numPr>
          <w:ilvl w:val="0"/>
          <w:numId w:val="2"/>
        </w:numPr>
        <w:spacing w:after="60" w:before="60"/>
      </w:pPr>
      <w:r>
        <w:rPr>
          <w:rFonts w:ascii="Arial" w:cs="Arial" w:eastAsia="Arial" w:hAnsi="Arial"/>
          <w:sz w:val="22"/>
          <w:szCs w:val="22"/>
        </w:rPr>
        <w:t xml:space="preserve">The most severe finding was a gastroenterology practice scoring 1.3 AIM with 57 errors and 184 contrast failures</w:t>
      </w:r>
    </w:p>
    <w:p>
      <w:pPr>
        <w:pStyle w:val="ListParagraph"/>
        <w:numPr>
          <w:ilvl w:val="0"/>
          <w:numId w:val="2"/>
        </w:numPr>
        <w:spacing w:after="60" w:before="60"/>
      </w:pPr>
      <w:r>
        <w:rPr>
          <w:rFonts w:ascii="Arial" w:cs="Arial" w:eastAsia="Arial" w:hAnsi="Arial"/>
          <w:sz w:val="22"/>
          <w:szCs w:val="22"/>
        </w:rPr>
        <w:t xml:space="preserve">25% of audited sites demonstrated strong compliance, confirming WCAG 2.1 AA conformance is achievable without a full redesign</w:t>
      </w:r>
    </w:p>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Compliance Context</w:t>
      </w:r>
    </w:p>
    <w:p>
      <w:pPr>
        <w:spacing w:after="80" w:before="80"/>
      </w:pPr>
      <w:r>
        <w:rPr>
          <w:rFonts w:ascii="Arial" w:cs="Arial" w:eastAsia="Arial" w:hAnsi="Arial"/>
          <w:sz w:val="22"/>
          <w:szCs w:val="22"/>
        </w:rPr>
        <w:t xml:space="preserve">The HHS Office for Civil Rights published a final rule in 2024 establishing WCAG 2.1 Level AA as the enforceable digital accessibility standard for healthcare organizations receiving federal funding under Section 504 of the Rehabilitation Act. The initial compliance deadline of May 11, 2026 was extended via Interim Final Rule on May 7, 2026 to May 11, 2027 for organizations with 15 or more employees.</w:t>
      </w:r>
    </w:p>
    <w:p>
      <w:pPr>
        <w:spacing w:after="120" w:before="120"/>
      </w:pPr>
      <w:r>
        <w:t xml:space="preserve"/>
      </w:r>
    </w:p>
    <w:p>
      <w:pPr>
        <w:spacing w:after="80" w:before="80"/>
      </w:pPr>
      <w:r>
        <w:rPr>
          <w:rFonts w:ascii="Arial" w:cs="Arial" w:eastAsia="Arial" w:hAnsi="Arial"/>
          <w:sz w:val="22"/>
          <w:szCs w:val="22"/>
        </w:rPr>
        <w:t xml:space="preserve">The extension does not eliminate compliance obligations or pause enforcement authority. HHS Office for Civil Rights retains the ability to investigate proactively. ADA litigation targeting healthcare web accessibility has been increasing year over year regardless of regulatory deadlines.</w:t>
      </w:r>
    </w:p>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Remediation Approach</w:t>
      </w:r>
    </w:p>
    <w:p>
      <w:pPr>
        <w:spacing w:after="80" w:before="80"/>
      </w:pPr>
      <w:r>
        <w:rPr>
          <w:rFonts w:ascii="Arial" w:cs="Arial" w:eastAsia="Arial" w:hAnsi="Arial"/>
          <w:sz w:val="22"/>
          <w:szCs w:val="22"/>
        </w:rPr>
        <w:t xml:space="preserve">The most critical failures identified are code-level fixes that do not require visual redesign. Specifically:</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Empty links: Adding descriptive aria-label attributes or visible link text</w:t>
      </w:r>
    </w:p>
    <w:p>
      <w:pPr>
        <w:pStyle w:val="ListParagraph"/>
        <w:numPr>
          <w:ilvl w:val="0"/>
          <w:numId w:val="2"/>
        </w:numPr>
        <w:spacing w:after="60" w:before="60"/>
      </w:pPr>
      <w:r>
        <w:rPr>
          <w:rFonts w:ascii="Arial" w:cs="Arial" w:eastAsia="Arial" w:hAnsi="Arial"/>
          <w:sz w:val="22"/>
          <w:szCs w:val="22"/>
        </w:rPr>
        <w:t xml:space="preserve">Missing form labels: Adding programmatic label elements or aria-labelledby associations</w:t>
      </w:r>
    </w:p>
    <w:p>
      <w:pPr>
        <w:pStyle w:val="ListParagraph"/>
        <w:numPr>
          <w:ilvl w:val="0"/>
          <w:numId w:val="2"/>
        </w:numPr>
        <w:spacing w:after="60" w:before="60"/>
      </w:pPr>
      <w:r>
        <w:rPr>
          <w:rFonts w:ascii="Arial" w:cs="Arial" w:eastAsia="Arial" w:hAnsi="Arial"/>
          <w:sz w:val="22"/>
          <w:szCs w:val="22"/>
        </w:rPr>
        <w:t xml:space="preserve">Missing alt text: Adding descriptive alt attributes to img elements</w:t>
      </w:r>
    </w:p>
    <w:p>
      <w:pPr>
        <w:pStyle w:val="ListParagraph"/>
        <w:numPr>
          <w:ilvl w:val="0"/>
          <w:numId w:val="2"/>
        </w:numPr>
        <w:spacing w:after="60" w:before="60"/>
      </w:pPr>
      <w:r>
        <w:rPr>
          <w:rFonts w:ascii="Arial" w:cs="Arial" w:eastAsia="Arial" w:hAnsi="Arial"/>
          <w:sz w:val="22"/>
          <w:szCs w:val="22"/>
        </w:rPr>
        <w:t xml:space="preserve">Contrast failures: CSS color value adjustments to meet the 4.5:1 ratio threshold</w:t>
      </w:r>
    </w:p>
    <w:p>
      <w:pPr>
        <w:pStyle w:val="ListParagraph"/>
        <w:numPr>
          <w:ilvl w:val="0"/>
          <w:numId w:val="2"/>
        </w:numPr>
        <w:spacing w:after="60" w:before="60"/>
      </w:pPr>
      <w:r>
        <w:rPr>
          <w:rFonts w:ascii="Arial" w:cs="Arial" w:eastAsia="Arial" w:hAnsi="Arial"/>
          <w:sz w:val="22"/>
          <w:szCs w:val="22"/>
        </w:rPr>
        <w:t xml:space="preserve">Broken ARIA: Correcting malformed role and aria-controls attributes on navigation components</w:t>
      </w:r>
    </w:p>
    <w:p>
      <w:pPr>
        <w:spacing w:after="120" w:before="120"/>
      </w:pPr>
      <w:r>
        <w:t xml:space="preserve"/>
      </w:r>
    </w:p>
    <w:p>
      <w:pPr>
        <w:spacing w:after="80" w:before="80"/>
      </w:pPr>
      <w:r>
        <w:rPr>
          <w:rFonts w:ascii="Arial" w:cs="Arial" w:eastAsia="Arial" w:hAnsi="Arial"/>
          <w:sz w:val="22"/>
          <w:szCs w:val="22"/>
        </w:rPr>
        <w:t xml:space="preserve">None of these remediations require changes to layout, branding, or conversion flows. The site's visual appearance remains intact. The underlying structure becomes accessible.</w:t>
      </w:r>
    </w:p>
    <w:p>
      <w:pPr>
        <w:pBdr>
          <w:bottom w:val="single" w:color="0D3D6B" w:sz="4" w:space="1"/>
        </w:pBdr>
        <w:spacing w:after="200" w:before="200"/>
      </w:pPr>
      <w:r>
        <w:t xml:space="preserve"/>
      </w:r>
    </w:p>
    <w:p>
      <w:pPr>
        <w:pStyle w:val="Heading1"/>
        <w:spacing w:after="180" w:before="360"/>
      </w:pPr>
      <w:r>
        <w:rPr>
          <w:rFonts w:ascii="Arial" w:cs="Arial" w:eastAsia="Arial" w:hAnsi="Arial"/>
          <w:b/>
          <w:bCs/>
          <w:color w:val="0D3D6B"/>
          <w:sz w:val="32"/>
          <w:szCs w:val="32"/>
        </w:rPr>
        <w:t xml:space="preserve">About Blueside Digital</w:t>
      </w:r>
    </w:p>
    <w:p>
      <w:pPr>
        <w:spacing w:after="80" w:before="80"/>
      </w:pPr>
      <w:r>
        <w:rPr>
          <w:rFonts w:ascii="Arial" w:cs="Arial" w:eastAsia="Arial" w:hAnsi="Arial"/>
          <w:sz w:val="22"/>
          <w:szCs w:val="22"/>
        </w:rPr>
        <w:t xml:space="preserve">Blueside Digital is an independent digital engineering consultancy specializing in regulated industries including healthcare, pharma, and federal government. Core competencies include WCAG 2.1 / Section 508 accessibility compliance, full-stack web development, and enterprise CMS platforms including WordPress, Drupal, and Adobe Experience Manager.</w:t>
      </w:r>
    </w:p>
    <w:p>
      <w:pPr>
        <w:spacing w:after="120" w:before="120"/>
      </w:pPr>
      <w:r>
        <w:t xml:space="preserve"/>
      </w:r>
    </w:p>
    <w:p>
      <w:pPr>
        <w:spacing w:after="80" w:before="80"/>
      </w:pPr>
      <w:r>
        <w:rPr>
          <w:rFonts w:ascii="Arial" w:cs="Arial" w:eastAsia="Arial" w:hAnsi="Arial"/>
          <w:b/>
          <w:bCs/>
          <w:sz w:val="22"/>
          <w:szCs w:val="22"/>
        </w:rPr>
        <w:t xml:space="preserve">cashwell.digital@gmail.com</w:t>
      </w:r>
    </w:p>
    <w:p>
      <w:pPr>
        <w:spacing w:after="80" w:before="80"/>
      </w:pPr>
      <w:r>
        <w:rPr>
          <w:rFonts w:ascii="Arial" w:cs="Arial" w:eastAsia="Arial" w:hAnsi="Arial"/>
          <w:b/>
          <w:bCs/>
          <w:sz w:val="22"/>
          <w:szCs w:val="22"/>
        </w:rPr>
        <w:t xml:space="preserve">bluesidedigital.com</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3D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3D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2026-06-02T16:59:21.745Z</dcterms:created>
  <dcterms:modified xsi:type="dcterms:W3CDTF">2026-06-02T16:59:21.764Z</dcterms:modified>
</cp:coreProperties>
</file>

<file path=docProps/custom.xml><?xml version="1.0" encoding="utf-8"?>
<Properties xmlns="http://schemas.openxmlformats.org/officeDocument/2006/custom-properties" xmlns:vt="http://schemas.openxmlformats.org/officeDocument/2006/docPropsVTypes"/>
</file>