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eastAsia="Arial"/>
          <w:b/>
          <w:i w:val="0"/>
          <w:caps/>
          <w:color w:val="A72D2A"/>
          <w:sz w:val="17"/>
        </w:rPr>
        <w:t>The Question Method of Legal Research · Companion Notes</w:t>
      </w:r>
    </w:p>
    <w:p>
      <w:pPr>
        <w:spacing w:after="40"/>
      </w:pPr>
      <w:r>
        <w:rPr>
          <w:rFonts w:ascii="Arial" w:hAnsi="Arial" w:eastAsia="Arial"/>
          <w:b/>
          <w:i w:val="0"/>
          <w:color w:val="262622"/>
          <w:sz w:val="40"/>
        </w:rPr>
        <w:t>Hierarchy of Authorities — Companion Notes</w:t>
      </w:r>
    </w:p>
    <w:p>
      <w:pPr>
        <w:spacing w:after="120"/>
      </w:pPr>
      <w:r>
        <w:rPr>
          <w:rFonts w:ascii="Arial" w:hAnsi="Arial" w:eastAsia="Arial"/>
          <w:b w:val="0"/>
          <w:i w:val="0"/>
          <w:color w:val="6B6A62"/>
          <w:sz w:val="20"/>
        </w:rPr>
        <w:t>Ch. 1 · Foundations of Legal Authority — Hierarchy of Authorities</w:t>
      </w:r>
    </w:p>
    <w:p>
      <w:pPr>
        <w:spacing w:before="80" w:after="200"/>
        <w:pBdr>
          <w:bottom w:val="single" w:sz="6" w:space="1" w:color="B6B6B6"/>
        </w:pBdr>
      </w:pPr>
      <w:r>
        <w:rPr>
          <w:rFonts w:ascii="Arial" w:hAnsi="Arial" w:eastAsia="Arial"/>
          <w:b w:val="0"/>
          <w:i w:val="0"/>
          <w:color w:val="6B6A62"/>
          <w:sz w:val="19"/>
        </w:rPr>
        <w:t xml:space="preserve">Name:                         Date:             </w:t>
      </w:r>
    </w:p>
    <w:p>
      <w:pPr>
        <w:spacing w:after="240"/>
      </w:pPr>
      <w:r>
        <w:rPr>
          <w:rFonts w:ascii="Georgia" w:hAnsi="Georgia" w:eastAsia="Georgia"/>
          <w:b w:val="0"/>
          <w:i/>
          <w:color w:val="262622"/>
          <w:sz w:val="21"/>
        </w:rPr>
        <w:t>Fill in each blank as you work through the module. Try to answer from memory first, then check yourself against the pages. When every blank is filled, this becomes your one-page guide to weighing authority.</w:t>
      </w:r>
    </w:p>
    <w:p>
      <w:pPr>
        <w:keepNext/>
        <w:spacing w:before="280" w:after="80"/>
        <w:pBdr>
          <w:bottom w:val="single" w:sz="10" w:space="1" w:color="A72D2A"/>
        </w:pBdr>
      </w:pPr>
      <w:r>
        <w:rPr>
          <w:rFonts w:ascii="Arial" w:hAnsi="Arial" w:eastAsia="Arial"/>
          <w:b/>
          <w:i w:val="0"/>
          <w:caps/>
          <w:color w:val="A72D2A"/>
          <w:sz w:val="22"/>
        </w:rPr>
        <w:t>THE HIERARCHY OF AUTHORITY</w:t>
      </w:r>
    </w:p>
    <w:p>
      <w:pPr>
        <w:keepNext/>
        <w:spacing w:before="160" w:after="0"/>
      </w:pPr>
      <w:r>
        <w:rPr>
          <w:rFonts w:ascii="Arial" w:hAnsi="Arial" w:eastAsia="Arial"/>
          <w:b/>
          <w:i w:val="0"/>
          <w:color w:val="262622"/>
          <w:sz w:val="20"/>
        </w:rPr>
        <w:t>The order, top to bottom (constitution → ... → local ordinances)</w:t>
      </w:r>
    </w:p>
    <w:p>
      <w:pPr>
        <w:spacing w:before="280" w:after="0"/>
        <w:pBdr>
          <w:bottom w:val="single" w:sz="6" w:space="1" w:color="B6B6B6"/>
        </w:pBdr>
      </w:pPr>
    </w:p>
    <w:p>
      <w:pPr>
        <w:spacing w:before="280" w:after="0"/>
        <w:pBdr>
          <w:bottom w:val="single" w:sz="6" w:space="1" w:color="B6B6B6"/>
        </w:pBdr>
      </w:pPr>
    </w:p>
    <w:p>
      <w:pPr>
        <w:keepNext/>
        <w:spacing w:before="160" w:after="0"/>
      </w:pPr>
      <w:r>
        <w:rPr>
          <w:rFonts w:ascii="Arial" w:hAnsi="Arial" w:eastAsia="Arial"/>
          <w:b/>
          <w:i w:val="0"/>
          <w:color w:val="262622"/>
          <w:sz w:val="20"/>
        </w:rPr>
        <w:t>Statute vs. regulation — which outranks the other on the same subject</w:t>
      </w:r>
    </w:p>
    <w:p>
      <w:pPr>
        <w:spacing w:before="280" w:after="0"/>
        <w:pBdr>
          <w:bottom w:val="single" w:sz="6" w:space="1" w:color="B6B6B6"/>
        </w:pBdr>
      </w:pPr>
    </w:p>
    <w:p>
      <w:pPr>
        <w:spacing w:before="280" w:after="0"/>
        <w:pBdr>
          <w:bottom w:val="single" w:sz="6" w:space="1" w:color="B6B6B6"/>
        </w:pBdr>
      </w:pPr>
    </w:p>
    <w:p>
      <w:pPr>
        <w:keepNext/>
        <w:spacing w:before="160" w:after="0"/>
      </w:pPr>
      <w:r>
        <w:rPr>
          <w:rFonts w:ascii="Arial" w:hAnsi="Arial" w:eastAsia="Arial"/>
          <w:b/>
          <w:i w:val="0"/>
          <w:color w:val="262622"/>
          <w:sz w:val="20"/>
        </w:rPr>
        <w:t>When federal law sits above state law (one word: the ____ Clause)</w:t>
      </w:r>
    </w:p>
    <w:p>
      <w:pPr>
        <w:spacing w:before="280" w:after="0"/>
        <w:pBdr>
          <w:bottom w:val="single" w:sz="6" w:space="1" w:color="B6B6B6"/>
        </w:pBdr>
      </w:pPr>
    </w:p>
    <w:p>
      <w:pPr>
        <w:spacing w:before="280" w:after="0"/>
        <w:pBdr>
          <w:bottom w:val="single" w:sz="6" w:space="1" w:color="B6B6B6"/>
        </w:pBdr>
      </w:pPr>
    </w:p>
    <w:p>
      <w:pPr>
        <w:keepNext/>
        <w:spacing w:before="280" w:after="80"/>
        <w:pBdr>
          <w:bottom w:val="single" w:sz="10" w:space="1" w:color="A72D2A"/>
        </w:pBdr>
      </w:pPr>
      <w:r>
        <w:rPr>
          <w:rFonts w:ascii="Arial" w:hAnsi="Arial" w:eastAsia="Arial"/>
          <w:b/>
          <w:i w:val="0"/>
          <w:caps/>
          <w:color w:val="A72D2A"/>
          <w:sz w:val="22"/>
        </w:rPr>
        <w:t>PRIMARY VS. SECONDARY</w:t>
      </w:r>
    </w:p>
    <w:p>
      <w:pPr>
        <w:keepNext/>
        <w:spacing w:before="160" w:after="0"/>
      </w:pPr>
      <w:r>
        <w:rPr>
          <w:rFonts w:ascii="Arial" w:hAnsi="Arial" w:eastAsia="Arial"/>
          <w:b/>
          <w:i w:val="0"/>
          <w:color w:val="262622"/>
          <w:sz w:val="20"/>
        </w:rPr>
        <w:t>Primary authority is</w:t>
      </w:r>
    </w:p>
    <w:p>
      <w:pPr>
        <w:spacing w:before="280" w:after="0"/>
        <w:pBdr>
          <w:bottom w:val="single" w:sz="6" w:space="1" w:color="B6B6B6"/>
        </w:pBdr>
      </w:pPr>
    </w:p>
    <w:p>
      <w:pPr>
        <w:spacing w:before="280" w:after="0"/>
        <w:pBdr>
          <w:bottom w:val="single" w:sz="6" w:space="1" w:color="B6B6B6"/>
        </w:pBdr>
      </w:pPr>
    </w:p>
    <w:p>
      <w:pPr>
        <w:keepNext/>
        <w:spacing w:before="160" w:after="0"/>
      </w:pPr>
      <w:r>
        <w:rPr>
          <w:rFonts w:ascii="Arial" w:hAnsi="Arial" w:eastAsia="Arial"/>
          <w:b/>
          <w:i w:val="0"/>
          <w:color w:val="262622"/>
          <w:sz w:val="20"/>
        </w:rPr>
        <w:t>Secondary sources are (and three examples)</w:t>
      </w:r>
    </w:p>
    <w:p>
      <w:pPr>
        <w:spacing w:before="280" w:after="0"/>
        <w:pBdr>
          <w:bottom w:val="single" w:sz="6" w:space="1" w:color="B6B6B6"/>
        </w:pBdr>
      </w:pPr>
    </w:p>
    <w:p>
      <w:pPr>
        <w:spacing w:before="280" w:after="0"/>
        <w:pBdr>
          <w:bottom w:val="single" w:sz="6" w:space="1" w:color="B6B6B6"/>
        </w:pBdr>
      </w:pPr>
    </w:p>
    <w:p>
      <w:pPr>
        <w:keepNext/>
        <w:spacing w:before="160" w:after="0"/>
      </w:pPr>
      <w:r>
        <w:rPr>
          <w:rFonts w:ascii="Arial" w:hAnsi="Arial" w:eastAsia="Arial"/>
          <w:b/>
          <w:i w:val="0"/>
          <w:color w:val="262622"/>
          <w:sz w:val="20"/>
        </w:rPr>
        <w:t>You usually START in ____ and END in ____</w:t>
      </w:r>
    </w:p>
    <w:p>
      <w:pPr>
        <w:spacing w:before="280" w:after="0"/>
        <w:pBdr>
          <w:bottom w:val="single" w:sz="6" w:space="1" w:color="B6B6B6"/>
        </w:pBdr>
      </w:pPr>
    </w:p>
    <w:p>
      <w:pPr>
        <w:spacing w:before="280" w:after="0"/>
        <w:pBdr>
          <w:bottom w:val="single" w:sz="6" w:space="1" w:color="B6B6B6"/>
        </w:pBdr>
      </w:pPr>
    </w:p>
    <w:p>
      <w:pPr>
        <w:keepNext/>
        <w:spacing w:before="280" w:after="80"/>
        <w:pBdr>
          <w:bottom w:val="single" w:sz="10" w:space="1" w:color="A72D2A"/>
        </w:pBdr>
      </w:pPr>
      <w:r>
        <w:rPr>
          <w:rFonts w:ascii="Arial" w:hAnsi="Arial" w:eastAsia="Arial"/>
          <w:b/>
          <w:i w:val="0"/>
          <w:caps/>
          <w:color w:val="A72D2A"/>
          <w:sz w:val="22"/>
        </w:rPr>
        <w:t>THE BINDING TEST (for a case)</w:t>
      </w:r>
    </w:p>
    <w:p>
      <w:pPr>
        <w:keepNext/>
        <w:spacing w:before="160" w:after="0"/>
      </w:pPr>
      <w:r>
        <w:rPr>
          <w:rFonts w:ascii="Arial" w:hAnsi="Arial" w:eastAsia="Arial"/>
          <w:b/>
          <w:i w:val="0"/>
          <w:color w:val="262622"/>
          <w:sz w:val="20"/>
        </w:rPr>
        <w:t>Question 1 — same ____?</w:t>
      </w:r>
    </w:p>
    <w:p>
      <w:pPr>
        <w:spacing w:before="280" w:after="0"/>
        <w:pBdr>
          <w:bottom w:val="single" w:sz="6" w:space="1" w:color="B6B6B6"/>
        </w:pBdr>
      </w:pPr>
    </w:p>
    <w:p>
      <w:pPr>
        <w:spacing w:before="280" w:after="0"/>
        <w:pBdr>
          <w:bottom w:val="single" w:sz="6" w:space="1" w:color="B6B6B6"/>
        </w:pBdr>
      </w:pPr>
    </w:p>
    <w:p>
      <w:pPr>
        <w:keepNext/>
        <w:spacing w:before="160" w:after="0"/>
      </w:pPr>
      <w:r>
        <w:rPr>
          <w:rFonts w:ascii="Arial" w:hAnsi="Arial" w:eastAsia="Arial"/>
          <w:b/>
          <w:i w:val="0"/>
          <w:color w:val="262622"/>
          <w:sz w:val="20"/>
        </w:rPr>
        <w:t>Question 2 — from a ____ court in the ____ system?</w:t>
      </w:r>
    </w:p>
    <w:p>
      <w:pPr>
        <w:spacing w:before="280" w:after="0"/>
        <w:pBdr>
          <w:bottom w:val="single" w:sz="6" w:space="1" w:color="B6B6B6"/>
        </w:pBdr>
      </w:pPr>
    </w:p>
    <w:p>
      <w:pPr>
        <w:spacing w:before="280" w:after="0"/>
        <w:pBdr>
          <w:bottom w:val="single" w:sz="6" w:space="1" w:color="B6B6B6"/>
        </w:pBdr>
      </w:pPr>
    </w:p>
    <w:p>
      <w:pPr>
        <w:keepNext/>
        <w:spacing w:before="160" w:after="0"/>
      </w:pPr>
      <w:r>
        <w:rPr>
          <w:rFonts w:ascii="Arial" w:hAnsi="Arial" w:eastAsia="Arial"/>
          <w:b/>
          <w:i w:val="0"/>
          <w:color w:val="262622"/>
          <w:sz w:val="20"/>
        </w:rPr>
        <w:t>Question 3 — is it on ____?</w:t>
      </w:r>
    </w:p>
    <w:p>
      <w:pPr>
        <w:spacing w:before="280" w:after="0"/>
        <w:pBdr>
          <w:bottom w:val="single" w:sz="6" w:space="1" w:color="B6B6B6"/>
        </w:pBdr>
      </w:pPr>
    </w:p>
    <w:p>
      <w:pPr>
        <w:spacing w:before="280" w:after="0"/>
        <w:pBdr>
          <w:bottom w:val="single" w:sz="6" w:space="1" w:color="B6B6B6"/>
        </w:pBdr>
      </w:pPr>
    </w:p>
    <w:p>
      <w:pPr>
        <w:keepNext/>
        <w:spacing w:before="160" w:after="0"/>
      </w:pPr>
      <w:r>
        <w:rPr>
          <w:rFonts w:ascii="Arial" w:hAnsi="Arial" w:eastAsia="Arial"/>
          <w:b/>
          <w:i w:val="0"/>
          <w:color w:val="262622"/>
          <w:sz w:val="20"/>
        </w:rPr>
        <w:t>If any answer is no, the authority is</w:t>
      </w:r>
    </w:p>
    <w:p>
      <w:pPr>
        <w:spacing w:before="280" w:after="0"/>
        <w:pBdr>
          <w:bottom w:val="single" w:sz="6" w:space="1" w:color="B6B6B6"/>
        </w:pBdr>
      </w:pPr>
    </w:p>
    <w:p>
      <w:pPr>
        <w:spacing w:before="280" w:after="0"/>
        <w:pBdr>
          <w:bottom w:val="single" w:sz="6" w:space="1" w:color="B6B6B6"/>
        </w:pBdr>
      </w:pPr>
    </w:p>
    <w:p>
      <w:pPr>
        <w:keepNext/>
        <w:spacing w:before="280" w:after="80"/>
        <w:pBdr>
          <w:bottom w:val="single" w:sz="10" w:space="1" w:color="A72D2A"/>
        </w:pBdr>
      </w:pPr>
      <w:r>
        <w:rPr>
          <w:rFonts w:ascii="Arial" w:hAnsi="Arial" w:eastAsia="Arial"/>
          <w:b/>
          <w:i w:val="0"/>
          <w:caps/>
          <w:color w:val="A72D2A"/>
          <w:sz w:val="22"/>
        </w:rPr>
        <w:t>STATUTE VS. COMMON LAW</w:t>
      </w:r>
    </w:p>
    <w:p>
      <w:pPr>
        <w:keepNext/>
        <w:spacing w:before="160" w:after="0"/>
      </w:pPr>
      <w:r>
        <w:rPr>
          <w:rFonts w:ascii="Arial" w:hAnsi="Arial" w:eastAsia="Arial"/>
          <w:b/>
          <w:i w:val="0"/>
          <w:color w:val="262622"/>
          <w:sz w:val="20"/>
        </w:rPr>
        <w:t>On a subject a statute addresses, ____ controls over ____</w:t>
      </w:r>
    </w:p>
    <w:p>
      <w:pPr>
        <w:spacing w:before="280" w:after="0"/>
        <w:pBdr>
          <w:bottom w:val="single" w:sz="6" w:space="1" w:color="B6B6B6"/>
        </w:pBdr>
      </w:pPr>
    </w:p>
    <w:p>
      <w:pPr>
        <w:spacing w:before="280" w:after="0"/>
        <w:pBdr>
          <w:bottom w:val="single" w:sz="6" w:space="1" w:color="B6B6B6"/>
        </w:pBdr>
      </w:pPr>
    </w:p>
    <w:p>
      <w:pPr>
        <w:keepNext/>
        <w:spacing w:before="160" w:after="0"/>
      </w:pPr>
      <w:r>
        <w:rPr>
          <w:rFonts w:ascii="Arial" w:hAnsi="Arial" w:eastAsia="Arial"/>
          <w:b/>
          <w:i w:val="0"/>
          <w:color w:val="262622"/>
          <w:sz w:val="20"/>
        </w:rPr>
        <w:t>Where no statute speaks, the rule comes from</w:t>
      </w:r>
    </w:p>
    <w:p>
      <w:pPr>
        <w:spacing w:before="280" w:after="0"/>
        <w:pBdr>
          <w:bottom w:val="single" w:sz="6" w:space="1" w:color="B6B6B6"/>
        </w:pBdr>
      </w:pPr>
    </w:p>
    <w:p>
      <w:pPr>
        <w:spacing w:before="280" w:after="0"/>
        <w:pBdr>
          <w:bottom w:val="single" w:sz="6" w:space="1" w:color="B6B6B6"/>
        </w:pBdr>
      </w:pPr>
    </w:p>
    <w:p>
      <w:pPr>
        <w:keepNext/>
        <w:spacing w:before="160" w:after="0"/>
      </w:pPr>
      <w:r>
        <w:rPr>
          <w:rFonts w:ascii="Arial" w:hAnsi="Arial" w:eastAsia="Arial"/>
          <w:b/>
          <w:i w:val="0"/>
          <w:color w:val="262622"/>
          <w:sz w:val="20"/>
        </w:rPr>
        <w:t>A case interpreting a statute does NOT outrank it — instead it</w:t>
      </w:r>
    </w:p>
    <w:p>
      <w:pPr>
        <w:spacing w:before="280" w:after="0"/>
        <w:pBdr>
          <w:bottom w:val="single" w:sz="6" w:space="1" w:color="B6B6B6"/>
        </w:pBdr>
      </w:pPr>
    </w:p>
    <w:p>
      <w:pPr>
        <w:spacing w:before="280" w:after="0"/>
        <w:pBdr>
          <w:bottom w:val="single" w:sz="6" w:space="1" w:color="B6B6B6"/>
        </w:pBdr>
      </w:pPr>
    </w:p>
    <w:p>
      <w:pPr>
        <w:keepNext/>
        <w:spacing w:before="280" w:after="80"/>
        <w:pBdr>
          <w:bottom w:val="single" w:sz="10" w:space="1" w:color="A72D2A"/>
        </w:pBdr>
      </w:pPr>
      <w:r>
        <w:rPr>
          <w:rFonts w:ascii="Arial" w:hAnsi="Arial" w:eastAsia="Arial"/>
          <w:b/>
          <w:i w:val="0"/>
          <w:caps/>
          <w:color w:val="A72D2A"/>
          <w:sz w:val="22"/>
        </w:rPr>
        <w:t>COURT LADDERS (fill from your Bluebook, Table 1)</w:t>
      </w:r>
    </w:p>
    <w:p>
      <w:pPr>
        <w:keepNext/>
        <w:spacing w:before="160" w:after="0"/>
      </w:pPr>
      <w:r>
        <w:rPr>
          <w:rFonts w:ascii="Arial" w:hAnsi="Arial" w:eastAsia="Arial"/>
          <w:b/>
          <w:i w:val="0"/>
          <w:color w:val="262622"/>
          <w:sz w:val="20"/>
        </w:rPr>
        <w:t>Federal: trial → intermediate → highest</w:t>
      </w:r>
    </w:p>
    <w:p>
      <w:pPr>
        <w:spacing w:before="280" w:after="0"/>
        <w:pBdr>
          <w:bottom w:val="single" w:sz="6" w:space="1" w:color="B6B6B6"/>
        </w:pBdr>
      </w:pPr>
    </w:p>
    <w:p>
      <w:pPr>
        <w:spacing w:before="280" w:after="0"/>
        <w:pBdr>
          <w:bottom w:val="single" w:sz="6" w:space="1" w:color="B6B6B6"/>
        </w:pBdr>
      </w:pPr>
    </w:p>
    <w:p>
      <w:pPr>
        <w:keepNext/>
        <w:spacing w:before="160" w:after="0"/>
      </w:pPr>
      <w:r>
        <w:rPr>
          <w:rFonts w:ascii="Arial" w:hAnsi="Arial" w:eastAsia="Arial"/>
          <w:b/>
          <w:i w:val="0"/>
          <w:color w:val="262622"/>
          <w:sz w:val="20"/>
        </w:rPr>
        <w:t>Arizona: trial → intermediate → highest</w:t>
      </w:r>
    </w:p>
    <w:p>
      <w:pPr>
        <w:spacing w:before="280" w:after="0"/>
        <w:pBdr>
          <w:bottom w:val="single" w:sz="6" w:space="1" w:color="B6B6B6"/>
        </w:pBdr>
      </w:pPr>
    </w:p>
    <w:p>
      <w:pPr>
        <w:spacing w:before="280" w:after="0"/>
        <w:pBdr>
          <w:bottom w:val="single" w:sz="6" w:space="1" w:color="B6B6B6"/>
        </w:pBdr>
      </w:pPr>
    </w:p>
    <w:p>
      <w:pPr>
        <w:keepNext/>
        <w:spacing w:before="160" w:after="0"/>
      </w:pPr>
      <w:r>
        <w:rPr>
          <w:rFonts w:ascii="Arial" w:hAnsi="Arial" w:eastAsia="Arial"/>
          <w:b/>
          <w:i w:val="0"/>
          <w:color w:val="262622"/>
          <w:sz w:val="20"/>
        </w:rPr>
        <w:t>New York trap: the trial court is called ____; the highest is called ____</w:t>
      </w:r>
    </w:p>
    <w:p>
      <w:pPr>
        <w:spacing w:before="280" w:after="0"/>
        <w:pBdr>
          <w:bottom w:val="single" w:sz="6" w:space="1" w:color="B6B6B6"/>
        </w:pBdr>
      </w:pPr>
    </w:p>
    <w:p>
      <w:pPr>
        <w:spacing w:before="280" w:after="0"/>
        <w:pBdr>
          <w:bottom w:val="single" w:sz="6" w:space="1" w:color="B6B6B6"/>
        </w:pBdr>
      </w:pPr>
    </w:p>
    <w:p>
      <w:pPr>
        <w:keepNext/>
        <w:spacing w:before="160" w:after="0"/>
      </w:pPr>
      <w:r>
        <w:rPr>
          <w:rFonts w:ascii="Arial" w:hAnsi="Arial" w:eastAsia="Arial"/>
          <w:b/>
          <w:i w:val="0"/>
          <w:color w:val="262622"/>
          <w:sz w:val="20"/>
        </w:rPr>
        <w:t>Advanced — the reporter each court publishes in (and: trial courts are usually ____)</w:t>
      </w:r>
    </w:p>
    <w:p>
      <w:pPr>
        <w:spacing w:before="280" w:after="0"/>
        <w:pBdr>
          <w:bottom w:val="single" w:sz="6" w:space="1" w:color="B6B6B6"/>
        </w:pBdr>
      </w:pPr>
    </w:p>
    <w:p>
      <w:pPr>
        <w:spacing w:before="280" w:after="0"/>
        <w:pBdr>
          <w:bottom w:val="single" w:sz="6" w:space="1" w:color="B6B6B6"/>
        </w:pBdr>
      </w:pPr>
    </w:p>
    <w:p>
      <w:pPr>
        <w:spacing w:before="400"/>
        <w:jc w:val="center"/>
      </w:pPr>
      <w:r>
        <w:rPr>
          <w:rFonts w:ascii="Georgia" w:hAnsi="Georgia" w:eastAsia="Georgia"/>
          <w:b w:val="0"/>
          <w:i/>
          <w:color w:val="6B6A62"/>
          <w:sz w:val="19"/>
        </w:rPr>
        <w:t>Tip: if you can fill this in without looking, you can rank any stack of authorities on sight.</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