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aps/>
          <w:color w:val="A72D2A"/>
          <w:sz w:val="17"/>
        </w:rPr>
        <w:t>The Question Method of Legal Research · Companion Notes</w:t>
      </w:r>
    </w:p>
    <w:p>
      <w:pPr>
        <w:spacing w:after="40"/>
      </w:pPr>
      <w:r>
        <w:rPr>
          <w:rFonts w:ascii="Arial" w:hAnsi="Arial" w:eastAsia="Arial"/>
          <w:b/>
          <w:i w:val="0"/>
          <w:color w:val="262622"/>
          <w:sz w:val="40"/>
        </w:rPr>
        <w:t>Database Interface Explorer — Companion Notes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6B6A62"/>
          <w:sz w:val="20"/>
        </w:rPr>
        <w:t>Ch. 2 · Introduction to Legal Research Platforms</w:t>
      </w:r>
    </w:p>
    <w:p>
      <w:pPr>
        <w:spacing w:before="80" w:after="200"/>
        <w:pBdr>
          <w:bottom w:val="single" w:sz="6" w:space="1" w:color="B6B6B6"/>
        </w:pBdr>
      </w:pPr>
      <w:r>
        <w:rPr>
          <w:rFonts w:ascii="Arial" w:hAnsi="Arial" w:eastAsia="Arial"/>
          <w:b w:val="0"/>
          <w:i w:val="0"/>
          <w:color w:val="6B6A62"/>
          <w:sz w:val="19"/>
        </w:rPr>
        <w:t xml:space="preserve">Name:                         Date:             </w:t>
      </w:r>
    </w:p>
    <w:p>
      <w:pPr>
        <w:spacing w:after="240"/>
      </w:pPr>
      <w:r>
        <w:rPr>
          <w:rFonts w:ascii="Georgia" w:hAnsi="Georgia" w:eastAsia="Georgia"/>
          <w:b w:val="0"/>
          <w:i/>
          <w:color w:val="262622"/>
          <w:sz w:val="21"/>
        </w:rPr>
        <w:t>Fill this in as you click through the simulated platform. The goal is a map you can carry to Westlaw, Lexis, or any other database: every platform arranges the same furniture, just in different rooms.</w:t>
      </w: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The search box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Plain-language search vs. terms and connectors — what does each control, and when would I use each?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Browsing the collections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Browse by source type — when do I already know what kind of law I need?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Federal vs. state collections — what tells me which one governs my question?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Practice-area pages — what do they gather in one place, and when is that the right door in?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Research tools (not bodies of law)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Litigation analytics — what can it tell me, and what should I stay skeptical about?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Legal writing assistant — what does it draft, and what do I still verify myself?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Other platforms in my subscription — which ones, and what is each one for?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Keeping my bearings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Folders / workspace — how do I keep one matter's research together?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History — when will I need to retrace my steps?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Live chat and reference support — when is asking the fastest move?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400"/>
        <w:jc w:val="center"/>
      </w:pPr>
      <w:r>
        <w:rPr>
          <w:rFonts w:ascii="Georgia" w:hAnsi="Georgia" w:eastAsia="Georgia"/>
          <w:b w:val="0"/>
          <w:i/>
          <w:color w:val="6B6A62"/>
          <w:sz w:val="19"/>
        </w:rPr>
        <w:t>Every platform is the same house with the furniture moved. Learn the furniture, not the floor plan.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