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aps/>
          <w:color w:val="A72D2A"/>
          <w:sz w:val="17"/>
        </w:rPr>
        <w:t>The Question Method of Legal Research · Companion Notes</w:t>
      </w:r>
    </w:p>
    <w:p>
      <w:pPr>
        <w:spacing w:after="40"/>
      </w:pPr>
      <w:r>
        <w:rPr>
          <w:rFonts w:ascii="Arial" w:hAnsi="Arial" w:eastAsia="Arial"/>
          <w:b/>
          <w:i w:val="0"/>
          <w:color w:val="262622"/>
          <w:sz w:val="40"/>
        </w:rPr>
        <w:t>How to Read a Case — Companion Notes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6B6A62"/>
          <w:sz w:val="20"/>
        </w:rPr>
        <w:t>Ch. 5 · Case Law Research</w:t>
      </w:r>
    </w:p>
    <w:p>
      <w:pPr>
        <w:spacing w:before="80" w:after="200"/>
        <w:pBdr>
          <w:bottom w:val="single" w:sz="6" w:space="1" w:color="B6B6B6"/>
        </w:pBdr>
      </w:pPr>
      <w:r>
        <w:rPr>
          <w:rFonts w:ascii="Arial" w:hAnsi="Arial" w:eastAsia="Arial"/>
          <w:b w:val="0"/>
          <w:i w:val="0"/>
          <w:color w:val="6B6A62"/>
          <w:sz w:val="19"/>
        </w:rPr>
        <w:t xml:space="preserve">Name:                         Date:             </w:t>
      </w:r>
    </w:p>
    <w:p>
      <w:pPr>
        <w:spacing w:after="240"/>
      </w:pPr>
      <w:r>
        <w:rPr>
          <w:rFonts w:ascii="Georgia" w:hAnsi="Georgia" w:eastAsia="Georgia"/>
          <w:b w:val="0"/>
          <w:i/>
          <w:color w:val="262622"/>
          <w:sz w:val="21"/>
        </w:rPr>
        <w:t>You don't read an opinion front to back like a story — you read it for the parts that answer your question. Work through Nash v. Tindall Corp. in both modes, then capture each part in your own words.</w:t>
      </w: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The five moves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Why does the caption come first — what does it settle before I read anything else?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Issue vs. holding — how do I tell the question from the answer?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Why does the reasoning often matter more than the holding for my own facts?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What does the citator check protect me from?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The parts, in my own words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Headnotes — who writes them, what are they for, and why can I never cite them?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Procedural history — what does the posture control about how I read the result?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Facts — how do I spot the facts the court actually relied on?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Disposition — what is the difference between who won and what rule decided it?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Reading for an answer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With the tags off, what signposts did I use to find my way around the opinion?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One question I carried into the case, and where its answer lived: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keepNext/>
        <w:spacing w:before="280" w:after="80"/>
        <w:pBdr>
          <w:bottom w:val="single" w:sz="10" w:space="1" w:color="A72D2A"/>
        </w:pBdr>
      </w:pPr>
      <w:r>
        <w:rPr>
          <w:rFonts w:ascii="Arial" w:hAnsi="Arial" w:eastAsia="Arial"/>
          <w:b/>
          <w:i w:val="0"/>
          <w:caps/>
          <w:color w:val="A72D2A"/>
          <w:sz w:val="22"/>
        </w:rPr>
        <w:t>Would I cite it?</w:t>
      </w:r>
    </w:p>
    <w:p>
      <w:pPr>
        <w:keepNext/>
        <w:spacing w:before="160" w:after="0"/>
      </w:pPr>
      <w:r>
        <w:rPr>
          <w:rFonts w:ascii="Arial" w:hAnsi="Arial" w:eastAsia="Arial"/>
          <w:b/>
          <w:i w:val="0"/>
          <w:color w:val="262622"/>
          <w:sz w:val="20"/>
        </w:rPr>
        <w:t>Which courts does Nash bind, and what would I check before relying on it in my own jurisdiction?</w:t>
      </w: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280" w:after="0"/>
        <w:pBdr>
          <w:bottom w:val="single" w:sz="6" w:space="1" w:color="B6B6B6"/>
        </w:pBdr>
      </w:pPr>
    </w:p>
    <w:p>
      <w:pPr>
        <w:spacing w:before="400"/>
        <w:jc w:val="center"/>
      </w:pPr>
      <w:r>
        <w:rPr>
          <w:rFonts w:ascii="Georgia" w:hAnsi="Georgia" w:eastAsia="Georgia"/>
          <w:b w:val="0"/>
          <w:i/>
          <w:color w:val="6B6A62"/>
          <w:sz w:val="19"/>
        </w:rPr>
        <w:t>Hold the question. Read for the answer. Log what you found.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