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KELLIBROOKE MORTGAGE PARTNERS, LLC</w:t>
      </w:r>
    </w:p>
    <w:p>
      <w:pPr>
        <w:spacing w:after="80"/>
        <w:jc w:val="center"/>
      </w:pPr>
      <w:r>
        <w:rPr>
          <w:rFonts w:ascii="Arial" w:cs="Arial" w:eastAsia="Arial" w:hAnsi="Arial"/>
          <w:sz w:val="22"/>
          <w:szCs w:val="22"/>
        </w:rPr>
        <w:t xml:space="preserve">NMLS ID 2022197</w:t>
      </w:r>
    </w:p>
    <w:p>
      <w:pPr>
        <w:pBdr>
          <w:bottom w:val="single" w:color="000000" w:sz="6" w:space="8"/>
        </w:pBdr>
        <w:spacing w:after="200"/>
        <w:jc w:val="center"/>
      </w:pPr>
      <w:r>
        <w:rPr>
          <w:rFonts w:ascii="Arial" w:cs="Arial" w:eastAsia="Arial" w:hAnsi="Arial"/>
          <w:b/>
          <w:bCs/>
          <w:sz w:val="26"/>
          <w:szCs w:val="26"/>
        </w:rPr>
        <w:t xml:space="preserve">Advertising, Marketing, and Solicitation Policy and Procedures</w:t>
      </w:r>
    </w:p>
    <w:p>
      <w:pPr>
        <w:pStyle w:val="Heading2"/>
        <w:spacing w:after="120" w:before="300"/>
      </w:pPr>
      <w:r>
        <w:rPr>
          <w:rFonts w:ascii="Arial" w:cs="Arial" w:eastAsia="Arial" w:hAnsi="Arial"/>
          <w:b/>
          <w:bCs/>
          <w:sz w:val="26"/>
          <w:szCs w:val="26"/>
        </w:rPr>
        <w:t xml:space="preserve">1. Purpose</w:t>
      </w:r>
    </w:p>
    <w:p>
      <w:pPr>
        <w:spacing w:after="160"/>
      </w:pPr>
      <w:r>
        <w:rPr>
          <w:rFonts w:ascii="Arial" w:cs="Arial" w:eastAsia="Arial" w:hAnsi="Arial"/>
          <w:sz w:val="22"/>
          <w:szCs w:val="22"/>
        </w:rPr>
        <w:t xml:space="preserve">This policy establishes the standards and procedures that Kellibrooke Mortgage Partners, LLC (the "Company") and its sponsored residential mortgage loan originators ("RMLOs") must follow when creating, reviewing, approving, and distributing any advertising, marketing, or solicitation materials related to residential mortgage loan transactions.</w:t>
      </w:r>
    </w:p>
    <w:p>
      <w:pPr>
        <w:pStyle w:val="Heading2"/>
        <w:spacing w:after="120" w:before="300"/>
      </w:pPr>
      <w:r>
        <w:rPr>
          <w:rFonts w:ascii="Arial" w:cs="Arial" w:eastAsia="Arial" w:hAnsi="Arial"/>
          <w:b/>
          <w:bCs/>
          <w:sz w:val="26"/>
          <w:szCs w:val="26"/>
        </w:rPr>
        <w:t xml:space="preserve">2. Scope</w:t>
      </w:r>
    </w:p>
    <w:p>
      <w:pPr>
        <w:spacing w:after="160"/>
      </w:pPr>
      <w:r>
        <w:rPr>
          <w:rFonts w:ascii="Arial" w:cs="Arial" w:eastAsia="Arial" w:hAnsi="Arial"/>
          <w:sz w:val="22"/>
          <w:szCs w:val="22"/>
        </w:rPr>
        <w:t xml:space="preserve">This policy applies to all employees, sponsored originators, and any third parties acting on behalf of the Company. It covers all forms of advertising as defined by 7 Texas Administrative Code Section 56.203, including but not limited to print materials, digital media, social media posts, email campaigns, business cards, flyers, brochures, website content, radio or television advertisements, telemarketing scripts, and direct mail.</w:t>
      </w:r>
    </w:p>
    <w:p>
      <w:pPr>
        <w:pStyle w:val="Heading2"/>
        <w:spacing w:after="120" w:before="300"/>
      </w:pPr>
      <w:r>
        <w:rPr>
          <w:rFonts w:ascii="Arial" w:cs="Arial" w:eastAsia="Arial" w:hAnsi="Arial"/>
          <w:b/>
          <w:bCs/>
          <w:sz w:val="26"/>
          <w:szCs w:val="26"/>
        </w:rPr>
        <w:t xml:space="preserve">3. Regulatory Authority</w:t>
      </w:r>
    </w:p>
    <w:p>
      <w:pPr>
        <w:spacing w:after="160"/>
      </w:pPr>
      <w:r>
        <w:rPr>
          <w:rFonts w:ascii="Arial" w:cs="Arial" w:eastAsia="Arial" w:hAnsi="Arial"/>
          <w:sz w:val="22"/>
          <w:szCs w:val="22"/>
        </w:rPr>
        <w:t xml:space="preserve">This policy is adopted to ensure compliance with the following laws and regulations:</w:t>
      </w:r>
    </w:p>
    <w:p>
      <w:pPr>
        <w:pStyle w:val="ListParagraph"/>
        <w:numPr>
          <w:ilvl w:val="0"/>
          <w:numId w:val="2"/>
        </w:numPr>
        <w:spacing w:after="80"/>
      </w:pPr>
      <w:r>
        <w:rPr>
          <w:rFonts w:ascii="Arial" w:cs="Arial" w:eastAsia="Arial" w:hAnsi="Arial"/>
          <w:sz w:val="22"/>
          <w:szCs w:val="22"/>
        </w:rPr>
        <w:t xml:space="preserve">Texas Finance Code, Chapter 156 (Residential Mortgage Loan Company Licensing and Registration Act)</w:t>
      </w:r>
    </w:p>
    <w:p>
      <w:pPr>
        <w:pStyle w:val="ListParagraph"/>
        <w:numPr>
          <w:ilvl w:val="0"/>
          <w:numId w:val="2"/>
        </w:numPr>
        <w:spacing w:after="80"/>
      </w:pPr>
      <w:r>
        <w:rPr>
          <w:rFonts w:ascii="Arial" w:cs="Arial" w:eastAsia="Arial" w:hAnsi="Arial"/>
          <w:sz w:val="22"/>
          <w:szCs w:val="22"/>
        </w:rPr>
        <w:t xml:space="preserve">7 Texas Administrative Code Section 56.203 (Advertising)</w:t>
      </w:r>
    </w:p>
    <w:p>
      <w:pPr>
        <w:pStyle w:val="ListParagraph"/>
        <w:numPr>
          <w:ilvl w:val="0"/>
          <w:numId w:val="2"/>
        </w:numPr>
        <w:spacing w:after="80"/>
      </w:pPr>
      <w:r>
        <w:rPr>
          <w:rFonts w:ascii="Arial" w:cs="Arial" w:eastAsia="Arial" w:hAnsi="Arial"/>
          <w:sz w:val="22"/>
          <w:szCs w:val="22"/>
        </w:rPr>
        <w:t xml:space="preserve">7 Texas Administrative Code Section 55.203 (RMLO Advertising)</w:t>
      </w:r>
    </w:p>
    <w:p>
      <w:pPr>
        <w:pStyle w:val="ListParagraph"/>
        <w:numPr>
          <w:ilvl w:val="0"/>
          <w:numId w:val="2"/>
        </w:numPr>
        <w:spacing w:after="80"/>
      </w:pPr>
      <w:r>
        <w:rPr>
          <w:rFonts w:ascii="Arial" w:cs="Arial" w:eastAsia="Arial" w:hAnsi="Arial"/>
          <w:sz w:val="22"/>
          <w:szCs w:val="22"/>
        </w:rPr>
        <w:t xml:space="preserve">Regulation Z, 12 C.F.R. Section 1026.24 (Truth in Lending Act advertising requirements)</w:t>
      </w:r>
    </w:p>
    <w:p>
      <w:pPr>
        <w:pStyle w:val="ListParagraph"/>
        <w:numPr>
          <w:ilvl w:val="0"/>
          <w:numId w:val="2"/>
        </w:numPr>
        <w:spacing w:after="160"/>
      </w:pPr>
      <w:r>
        <w:rPr>
          <w:rFonts w:ascii="Arial" w:cs="Arial" w:eastAsia="Arial" w:hAnsi="Arial"/>
          <w:sz w:val="22"/>
          <w:szCs w:val="22"/>
        </w:rPr>
        <w:t xml:space="preserve">Regulation N, 12 C.F.R. Section 1014.1 et seq. (Mortgage Acts and Practices Advertising Rule)</w:t>
      </w:r>
    </w:p>
    <w:p>
      <w:pPr>
        <w:pStyle w:val="Heading2"/>
        <w:spacing w:after="120" w:before="300"/>
      </w:pPr>
      <w:r>
        <w:rPr>
          <w:rFonts w:ascii="Arial" w:cs="Arial" w:eastAsia="Arial" w:hAnsi="Arial"/>
          <w:b/>
          <w:bCs/>
          <w:sz w:val="26"/>
          <w:szCs w:val="26"/>
        </w:rPr>
        <w:t xml:space="preserve">4. Definition of Advertisement</w:t>
      </w:r>
    </w:p>
    <w:p>
      <w:pPr>
        <w:spacing w:after="160"/>
      </w:pPr>
      <w:r>
        <w:rPr>
          <w:rFonts w:ascii="Arial" w:cs="Arial" w:eastAsia="Arial" w:hAnsi="Arial"/>
          <w:sz w:val="22"/>
          <w:szCs w:val="22"/>
        </w:rPr>
        <w:t xml:space="preserve">For purposes of this policy, an "advertisement" means any commercial message in any medium that promotes, directly or indirectly, a residential mortgage loan transaction or is otherwise designed to solicit residential mortgage loan origination business for the Company or its sponsored originators. This includes flyers, business cards, handouts, and messages or posts made on social media sites.</w:t>
      </w:r>
    </w:p>
    <w:p>
      <w:pPr>
        <w:spacing w:after="160"/>
      </w:pPr>
      <w:r>
        <w:rPr>
          <w:rFonts w:ascii="Arial" w:cs="Arial" w:eastAsia="Arial" w:hAnsi="Arial"/>
          <w:sz w:val="22"/>
          <w:szCs w:val="22"/>
        </w:rPr>
        <w:t xml:space="preserve">The following are excluded from this definition:</w:t>
      </w:r>
    </w:p>
    <w:p>
      <w:pPr>
        <w:pStyle w:val="ListParagraph"/>
        <w:numPr>
          <w:ilvl w:val="0"/>
          <w:numId w:val="2"/>
        </w:numPr>
        <w:spacing w:after="80"/>
      </w:pPr>
      <w:r>
        <w:rPr>
          <w:rFonts w:ascii="Arial" w:cs="Arial" w:eastAsia="Arial" w:hAnsi="Arial"/>
          <w:sz w:val="22"/>
          <w:szCs w:val="22"/>
        </w:rPr>
        <w:t xml:space="preserve">Promotional items of nominal value (cups, pens, shirts, company uniforms) that contain only the Company name or originator name and no contact information other than a website address.</w:t>
      </w:r>
    </w:p>
    <w:p>
      <w:pPr>
        <w:pStyle w:val="ListParagraph"/>
        <w:numPr>
          <w:ilvl w:val="0"/>
          <w:numId w:val="2"/>
        </w:numPr>
        <w:spacing w:after="80"/>
      </w:pPr>
      <w:r>
        <w:rPr>
          <w:rFonts w:ascii="Arial" w:cs="Arial" w:eastAsia="Arial" w:hAnsi="Arial"/>
          <w:sz w:val="22"/>
          <w:szCs w:val="22"/>
        </w:rPr>
        <w:t xml:space="preserve">Rate sheets or pricing sheets provided to realtors, builders, or other commercial entities not intended for consumer distribution.</w:t>
      </w:r>
    </w:p>
    <w:p>
      <w:pPr>
        <w:pStyle w:val="ListParagraph"/>
        <w:numPr>
          <w:ilvl w:val="0"/>
          <w:numId w:val="2"/>
        </w:numPr>
        <w:spacing w:after="160"/>
      </w:pPr>
      <w:r>
        <w:rPr>
          <w:rFonts w:ascii="Arial" w:cs="Arial" w:eastAsia="Arial" w:hAnsi="Arial"/>
          <w:sz w:val="22"/>
          <w:szCs w:val="22"/>
        </w:rPr>
        <w:t xml:space="preserve">Signs located on or adjacent to the Company's licensed office location.</w:t>
      </w:r>
    </w:p>
    <w:p>
      <w:pPr>
        <w:pStyle w:val="Heading2"/>
        <w:spacing w:after="120" w:before="300"/>
      </w:pPr>
      <w:r>
        <w:rPr>
          <w:rFonts w:ascii="Arial" w:cs="Arial" w:eastAsia="Arial" w:hAnsi="Arial"/>
          <w:b/>
          <w:bCs/>
          <w:sz w:val="26"/>
          <w:szCs w:val="26"/>
        </w:rPr>
        <w:t xml:space="preserve">5. Required Content for All Advertisements</w:t>
      </w:r>
    </w:p>
    <w:p>
      <w:pPr>
        <w:spacing w:after="160"/>
      </w:pPr>
      <w:r>
        <w:rPr>
          <w:rFonts w:ascii="Arial" w:cs="Arial" w:eastAsia="Arial" w:hAnsi="Arial"/>
          <w:sz w:val="22"/>
          <w:szCs w:val="22"/>
        </w:rPr>
        <w:t xml:space="preserve">Unless an exclusion applies, every advertisement must contain the following:</w:t>
      </w:r>
    </w:p>
    <w:p>
      <w:pPr>
        <w:pStyle w:val="ListParagraph"/>
        <w:numPr>
          <w:ilvl w:val="0"/>
          <w:numId w:val="3"/>
        </w:numPr>
        <w:spacing w:after="80"/>
      </w:pPr>
      <w:r>
        <w:rPr>
          <w:rFonts w:ascii="Arial" w:cs="Arial" w:eastAsia="Arial" w:hAnsi="Arial"/>
          <w:sz w:val="22"/>
          <w:szCs w:val="22"/>
        </w:rPr>
        <w:t xml:space="preserve">The Company's legal name: Kellibrooke Mortgage Partners, LLC</w:t>
      </w:r>
    </w:p>
    <w:p>
      <w:pPr>
        <w:pStyle w:val="ListParagraph"/>
        <w:numPr>
          <w:ilvl w:val="0"/>
          <w:numId w:val="3"/>
        </w:numPr>
        <w:spacing w:after="80"/>
      </w:pPr>
      <w:r>
        <w:rPr>
          <w:rFonts w:ascii="Arial" w:cs="Arial" w:eastAsia="Arial" w:hAnsi="Arial"/>
          <w:sz w:val="22"/>
          <w:szCs w:val="22"/>
        </w:rPr>
        <w:t xml:space="preserve">The Company's NMLS ID: 2022197</w:t>
      </w:r>
    </w:p>
    <w:p>
      <w:pPr>
        <w:pStyle w:val="ListParagraph"/>
        <w:numPr>
          <w:ilvl w:val="0"/>
          <w:numId w:val="3"/>
        </w:numPr>
        <w:spacing w:after="80"/>
      </w:pPr>
      <w:r>
        <w:rPr>
          <w:rFonts w:ascii="Arial" w:cs="Arial" w:eastAsia="Arial" w:hAnsi="Arial"/>
          <w:sz w:val="22"/>
          <w:szCs w:val="22"/>
        </w:rPr>
        <w:t xml:space="preserve">The Company's website address, if one exists</w:t>
      </w:r>
    </w:p>
    <w:p>
      <w:pPr>
        <w:pStyle w:val="ListParagraph"/>
        <w:numPr>
          <w:ilvl w:val="0"/>
          <w:numId w:val="3"/>
        </w:numPr>
        <w:spacing w:after="160"/>
      </w:pPr>
      <w:r>
        <w:rPr>
          <w:rFonts w:ascii="Arial" w:cs="Arial" w:eastAsia="Arial" w:hAnsi="Arial"/>
          <w:sz w:val="22"/>
          <w:szCs w:val="22"/>
        </w:rPr>
        <w:t xml:space="preserve">The sponsored originator's name and NMLS ID, if the advertisement is made by or on behalf of a specific originator</w:t>
      </w:r>
    </w:p>
    <w:p>
      <w:pPr>
        <w:spacing w:after="160"/>
      </w:pPr>
      <w:r>
        <w:rPr>
          <w:rFonts w:ascii="Arial" w:cs="Arial" w:eastAsia="Arial" w:hAnsi="Arial"/>
          <w:sz w:val="22"/>
          <w:szCs w:val="22"/>
        </w:rPr>
        <w:t xml:space="preserve">If the Company advertises directly to the public without referencing a specific originator, the originator's name and NMLS ID are not required.</w:t>
      </w:r>
    </w:p>
    <w:p>
      <w:pPr>
        <w:pStyle w:val="Heading2"/>
        <w:spacing w:after="120" w:before="300"/>
      </w:pPr>
      <w:r>
        <w:rPr>
          <w:rFonts w:ascii="Arial" w:cs="Arial" w:eastAsia="Arial" w:hAnsi="Arial"/>
          <w:b/>
          <w:bCs/>
          <w:sz w:val="26"/>
          <w:szCs w:val="26"/>
        </w:rPr>
        <w:t xml:space="preserve">6. Advertising Rates, Terms, or Conditions</w:t>
      </w:r>
    </w:p>
    <w:p>
      <w:pPr>
        <w:spacing w:after="160"/>
      </w:pPr>
      <w:r>
        <w:rPr>
          <w:rFonts w:ascii="Arial" w:cs="Arial" w:eastAsia="Arial" w:hAnsi="Arial"/>
          <w:sz w:val="22"/>
          <w:szCs w:val="22"/>
        </w:rPr>
        <w:t xml:space="preserve">Any advertisement that includes interest rates, loan terms, payment amounts, or other loan conditions must comply with the disclosure requirements of Regulation Z (12 C.F.R. Section 1026.24) and Regulation N (12 C.F.R. Section 1014.1 et seq.). Specifically:</w:t>
      </w:r>
    </w:p>
    <w:p>
      <w:pPr>
        <w:pStyle w:val="ListParagraph"/>
        <w:numPr>
          <w:ilvl w:val="0"/>
          <w:numId w:val="2"/>
        </w:numPr>
        <w:spacing w:after="80"/>
      </w:pPr>
      <w:r>
        <w:rPr>
          <w:rFonts w:ascii="Arial" w:cs="Arial" w:eastAsia="Arial" w:hAnsi="Arial"/>
          <w:sz w:val="22"/>
          <w:szCs w:val="22"/>
        </w:rPr>
        <w:t xml:space="preserve">If a triggering term (such as a specific rate, payment amount, or finance charge) is used, the advertisement must include the required additional disclosures under Regulation Z.</w:t>
      </w:r>
    </w:p>
    <w:p>
      <w:pPr>
        <w:pStyle w:val="ListParagraph"/>
        <w:numPr>
          <w:ilvl w:val="0"/>
          <w:numId w:val="2"/>
        </w:numPr>
        <w:spacing w:after="80"/>
      </w:pPr>
      <w:r>
        <w:rPr>
          <w:rFonts w:ascii="Arial" w:cs="Arial" w:eastAsia="Arial" w:hAnsi="Arial"/>
          <w:sz w:val="22"/>
          <w:szCs w:val="22"/>
        </w:rPr>
        <w:t xml:space="preserve">Advertisements must not contain misleading, deceptive, or false statements about rates, terms, fees, or conditions.</w:t>
      </w:r>
    </w:p>
    <w:p>
      <w:pPr>
        <w:pStyle w:val="ListParagraph"/>
        <w:numPr>
          <w:ilvl w:val="0"/>
          <w:numId w:val="2"/>
        </w:numPr>
        <w:spacing w:after="160"/>
      </w:pPr>
      <w:r>
        <w:rPr>
          <w:rFonts w:ascii="Arial" w:cs="Arial" w:eastAsia="Arial" w:hAnsi="Arial"/>
          <w:sz w:val="22"/>
          <w:szCs w:val="22"/>
        </w:rPr>
        <w:t xml:space="preserve">The Company may only advertise products that are actually available. If a product is subject to special conditions or requirements, those must be disclosed.</w:t>
      </w:r>
    </w:p>
    <w:p>
      <w:pPr>
        <w:pStyle w:val="Heading2"/>
        <w:spacing w:after="120" w:before="300"/>
      </w:pPr>
      <w:r>
        <w:rPr>
          <w:rFonts w:ascii="Arial" w:cs="Arial" w:eastAsia="Arial" w:hAnsi="Arial"/>
          <w:b/>
          <w:bCs/>
          <w:sz w:val="26"/>
          <w:szCs w:val="26"/>
        </w:rPr>
        <w:t xml:space="preserve">7. Social Media Advertising</w:t>
      </w:r>
    </w:p>
    <w:p>
      <w:pPr>
        <w:spacing w:after="160"/>
      </w:pPr>
      <w:r>
        <w:rPr>
          <w:rFonts w:ascii="Arial" w:cs="Arial" w:eastAsia="Arial" w:hAnsi="Arial"/>
          <w:sz w:val="22"/>
          <w:szCs w:val="22"/>
        </w:rPr>
        <w:t xml:space="preserve">If the Company or a sponsored originator advertises on a social media site, the required content listed in Section 5 above may be satisfied by prominently displaying that information on the home page, profile page, or similar landing page of the social media account. The information must be readily visible to viewers without requiring them to scroll through historical posts.</w:t>
      </w:r>
    </w:p>
    <w:p>
      <w:pPr>
        <w:spacing w:after="160"/>
      </w:pPr>
      <w:r>
        <w:rPr>
          <w:rFonts w:ascii="Arial" w:cs="Arial" w:eastAsia="Arial" w:hAnsi="Arial"/>
          <w:sz w:val="22"/>
          <w:szCs w:val="22"/>
        </w:rPr>
        <w:t xml:space="preserve">Individual posts that constitute advertisements must still comply with Regulation Z and Regulation N if they reference rates, terms, or conditions.</w:t>
      </w:r>
    </w:p>
    <w:p>
      <w:pPr>
        <w:pStyle w:val="Heading2"/>
        <w:spacing w:after="120" w:before="300"/>
      </w:pPr>
      <w:r>
        <w:rPr>
          <w:rFonts w:ascii="Arial" w:cs="Arial" w:eastAsia="Arial" w:hAnsi="Arial"/>
          <w:b/>
          <w:bCs/>
          <w:sz w:val="26"/>
          <w:szCs w:val="26"/>
        </w:rPr>
        <w:t xml:space="preserve">8. Trigger Leads</w:t>
      </w:r>
    </w:p>
    <w:p>
      <w:pPr>
        <w:spacing w:after="160"/>
      </w:pPr>
      <w:r>
        <w:rPr>
          <w:rFonts w:ascii="Arial" w:cs="Arial" w:eastAsia="Arial" w:hAnsi="Arial"/>
          <w:sz w:val="22"/>
          <w:szCs w:val="22"/>
        </w:rPr>
        <w:t xml:space="preserve">If the Company or a sponsored originator uses trigger leads as a basis for consumer solicitation, the initial communication must include:</w:t>
      </w:r>
    </w:p>
    <w:p>
      <w:pPr>
        <w:pStyle w:val="ListParagraph"/>
        <w:numPr>
          <w:ilvl w:val="0"/>
          <w:numId w:val="2"/>
        </w:numPr>
        <w:spacing w:after="80"/>
      </w:pPr>
      <w:r>
        <w:rPr>
          <w:rFonts w:ascii="Arial" w:cs="Arial" w:eastAsia="Arial" w:hAnsi="Arial"/>
          <w:sz w:val="22"/>
          <w:szCs w:val="22"/>
        </w:rPr>
        <w:t xml:space="preserve">The originator's name and NMLS ID.</w:t>
      </w:r>
    </w:p>
    <w:p>
      <w:pPr>
        <w:pStyle w:val="ListParagraph"/>
        <w:numPr>
          <w:ilvl w:val="0"/>
          <w:numId w:val="2"/>
        </w:numPr>
        <w:spacing w:after="80"/>
      </w:pPr>
      <w:r>
        <w:rPr>
          <w:rFonts w:ascii="Arial" w:cs="Arial" w:eastAsia="Arial" w:hAnsi="Arial"/>
          <w:sz w:val="22"/>
          <w:szCs w:val="22"/>
        </w:rPr>
        <w:t xml:space="preserve">The Company's name and NMLS ID.</w:t>
      </w:r>
    </w:p>
    <w:p>
      <w:pPr>
        <w:pStyle w:val="ListParagraph"/>
        <w:numPr>
          <w:ilvl w:val="0"/>
          <w:numId w:val="2"/>
        </w:numPr>
        <w:spacing w:after="80"/>
      </w:pPr>
      <w:r>
        <w:rPr>
          <w:rFonts w:ascii="Arial" w:cs="Arial" w:eastAsia="Arial" w:hAnsi="Arial"/>
          <w:sz w:val="22"/>
          <w:szCs w:val="22"/>
        </w:rPr>
        <w:t xml:space="preserve">A brief explanation of how the consumer's contact information was obtained (i.e., an explanation of trigger leads).</w:t>
      </w:r>
    </w:p>
    <w:p>
      <w:pPr>
        <w:pStyle w:val="ListParagraph"/>
        <w:numPr>
          <w:ilvl w:val="0"/>
          <w:numId w:val="2"/>
        </w:numPr>
        <w:spacing w:after="80"/>
      </w:pPr>
      <w:r>
        <w:rPr>
          <w:rFonts w:ascii="Arial" w:cs="Arial" w:eastAsia="Arial" w:hAnsi="Arial"/>
          <w:sz w:val="22"/>
          <w:szCs w:val="22"/>
        </w:rPr>
        <w:t xml:space="preserve">A statement that the originator and the Company are not affiliated with the creditor to which the consumer submitted an application.</w:t>
      </w:r>
    </w:p>
    <w:p>
      <w:pPr>
        <w:pStyle w:val="ListParagraph"/>
        <w:numPr>
          <w:ilvl w:val="0"/>
          <w:numId w:val="2"/>
        </w:numPr>
        <w:spacing w:after="160"/>
      </w:pPr>
      <w:r>
        <w:rPr>
          <w:rFonts w:ascii="Arial" w:cs="Arial" w:eastAsia="Arial" w:hAnsi="Arial"/>
          <w:sz w:val="22"/>
          <w:szCs w:val="22"/>
        </w:rPr>
        <w:t xml:space="preserve">Compliance with all applicable provisions of 7 TAC Section 56.202(a)(9).</w:t>
      </w:r>
    </w:p>
    <w:p>
      <w:pPr>
        <w:pStyle w:val="Heading2"/>
        <w:spacing w:after="120" w:before="300"/>
      </w:pPr>
      <w:r>
        <w:rPr>
          <w:rFonts w:ascii="Arial" w:cs="Arial" w:eastAsia="Arial" w:hAnsi="Arial"/>
          <w:b/>
          <w:bCs/>
          <w:sz w:val="26"/>
          <w:szCs w:val="26"/>
        </w:rPr>
        <w:t xml:space="preserve">9. Team Names and Logos</w:t>
      </w:r>
    </w:p>
    <w:p>
      <w:pPr>
        <w:spacing w:after="160"/>
      </w:pPr>
      <w:r>
        <w:rPr>
          <w:rFonts w:ascii="Arial" w:cs="Arial" w:eastAsia="Arial" w:hAnsi="Arial"/>
          <w:sz w:val="22"/>
          <w:szCs w:val="22"/>
        </w:rPr>
        <w:t xml:space="preserve">If the Company permits the use of team names or team logos in advertising, the following requirements must be met per 7 TAC Section 56.203(f):</w:t>
      </w:r>
    </w:p>
    <w:p>
      <w:pPr>
        <w:pStyle w:val="ListParagraph"/>
        <w:numPr>
          <w:ilvl w:val="0"/>
          <w:numId w:val="2"/>
        </w:numPr>
        <w:spacing w:after="80"/>
      </w:pPr>
      <w:r>
        <w:rPr>
          <w:rFonts w:ascii="Arial" w:cs="Arial" w:eastAsia="Arial" w:hAnsi="Arial"/>
          <w:sz w:val="22"/>
          <w:szCs w:val="22"/>
        </w:rPr>
        <w:t xml:space="preserve">Team names and logos may be used for advertising purposes only. They may not appear on any loan documentation or correspondence sent to mortgage applicants.</w:t>
      </w:r>
    </w:p>
    <w:p>
      <w:pPr>
        <w:pStyle w:val="ListParagraph"/>
        <w:numPr>
          <w:ilvl w:val="0"/>
          <w:numId w:val="2"/>
        </w:numPr>
        <w:spacing w:after="80"/>
      </w:pPr>
      <w:r>
        <w:rPr>
          <w:rFonts w:ascii="Arial" w:cs="Arial" w:eastAsia="Arial" w:hAnsi="Arial"/>
          <w:sz w:val="22"/>
          <w:szCs w:val="22"/>
        </w:rPr>
        <w:t xml:space="preserve">The Company's legal name (or a registered assumed name) and NMLS ID must appear alongside the team name in substantially equivalent prominence, connected by a linking phrase such as "[Team Name] of Kellibrooke Mortgage Partners, LLC (NMLS 2022197)" or "[Team Name] powered by Kellibrooke Mortgage Partners, LLC (NMLS 2022197)."</w:t>
      </w:r>
    </w:p>
    <w:p>
      <w:pPr>
        <w:pStyle w:val="ListParagraph"/>
        <w:numPr>
          <w:ilvl w:val="0"/>
          <w:numId w:val="2"/>
        </w:numPr>
        <w:spacing w:after="160"/>
      </w:pPr>
      <w:r>
        <w:rPr>
          <w:rFonts w:ascii="Arial" w:cs="Arial" w:eastAsia="Arial" w:hAnsi="Arial"/>
          <w:sz w:val="22"/>
          <w:szCs w:val="22"/>
        </w:rPr>
        <w:t xml:space="preserve">Graphics, shading, or coloration may not be used to obscure, deemphasize, or mask the Company's name and NMLS ID.</w:t>
      </w:r>
    </w:p>
    <w:p>
      <w:pPr>
        <w:pStyle w:val="Heading2"/>
        <w:spacing w:after="120" w:before="300"/>
      </w:pPr>
      <w:r>
        <w:rPr>
          <w:rFonts w:ascii="Arial" w:cs="Arial" w:eastAsia="Arial" w:hAnsi="Arial"/>
          <w:b/>
          <w:bCs/>
          <w:sz w:val="26"/>
          <w:szCs w:val="26"/>
        </w:rPr>
        <w:t xml:space="preserve">10. Prohibited Practices</w:t>
      </w:r>
    </w:p>
    <w:p>
      <w:pPr>
        <w:spacing w:after="160"/>
      </w:pPr>
      <w:r>
        <w:rPr>
          <w:rFonts w:ascii="Arial" w:cs="Arial" w:eastAsia="Arial" w:hAnsi="Arial"/>
          <w:sz w:val="22"/>
          <w:szCs w:val="22"/>
        </w:rPr>
        <w:t xml:space="preserve">The following are strictly prohibited in any Company advertisement or solicitation:</w:t>
      </w:r>
    </w:p>
    <w:p>
      <w:pPr>
        <w:pStyle w:val="ListParagraph"/>
        <w:numPr>
          <w:ilvl w:val="0"/>
          <w:numId w:val="2"/>
        </w:numPr>
        <w:spacing w:after="80"/>
      </w:pPr>
      <w:r>
        <w:rPr>
          <w:rFonts w:ascii="Arial" w:cs="Arial" w:eastAsia="Arial" w:hAnsi="Arial"/>
          <w:sz w:val="22"/>
          <w:szCs w:val="22"/>
        </w:rPr>
        <w:t xml:space="preserve">False, misleading, or deceptive statements regarding rates, terms, fees, or the nature of any mortgage product.</w:t>
      </w:r>
    </w:p>
    <w:p>
      <w:pPr>
        <w:pStyle w:val="ListParagraph"/>
        <w:numPr>
          <w:ilvl w:val="0"/>
          <w:numId w:val="2"/>
        </w:numPr>
        <w:spacing w:after="80"/>
      </w:pPr>
      <w:r>
        <w:rPr>
          <w:rFonts w:ascii="Arial" w:cs="Arial" w:eastAsia="Arial" w:hAnsi="Arial"/>
          <w:sz w:val="22"/>
          <w:szCs w:val="22"/>
        </w:rPr>
        <w:t xml:space="preserve">Misrepresentation of lien position.</w:t>
      </w:r>
    </w:p>
    <w:p>
      <w:pPr>
        <w:pStyle w:val="ListParagraph"/>
        <w:numPr>
          <w:ilvl w:val="0"/>
          <w:numId w:val="2"/>
        </w:numPr>
        <w:spacing w:after="80"/>
      </w:pPr>
      <w:r>
        <w:rPr>
          <w:rFonts w:ascii="Arial" w:cs="Arial" w:eastAsia="Arial" w:hAnsi="Arial"/>
          <w:sz w:val="22"/>
          <w:szCs w:val="22"/>
        </w:rPr>
        <w:t xml:space="preserve">Advertising products that are not actually available through the Company.</w:t>
      </w:r>
    </w:p>
    <w:p>
      <w:pPr>
        <w:pStyle w:val="ListParagraph"/>
        <w:numPr>
          <w:ilvl w:val="0"/>
          <w:numId w:val="2"/>
        </w:numPr>
        <w:spacing w:after="80"/>
      </w:pPr>
      <w:r>
        <w:rPr>
          <w:rFonts w:ascii="Arial" w:cs="Arial" w:eastAsia="Arial" w:hAnsi="Arial"/>
          <w:sz w:val="22"/>
          <w:szCs w:val="22"/>
        </w:rPr>
        <w:t xml:space="preserve">Use of government agency names, logos, or seals in a manner that implies government endorsement or affiliation.</w:t>
      </w:r>
    </w:p>
    <w:p>
      <w:pPr>
        <w:pStyle w:val="ListParagraph"/>
        <w:numPr>
          <w:ilvl w:val="0"/>
          <w:numId w:val="2"/>
        </w:numPr>
        <w:spacing w:after="80"/>
      </w:pPr>
      <w:r>
        <w:rPr>
          <w:rFonts w:ascii="Arial" w:cs="Arial" w:eastAsia="Arial" w:hAnsi="Arial"/>
          <w:sz w:val="22"/>
          <w:szCs w:val="22"/>
        </w:rPr>
        <w:t xml:space="preserve">Solicitation of consumers on the National Do Not Call Registry in violation of federal telemarketing rules.</w:t>
      </w:r>
    </w:p>
    <w:p>
      <w:pPr>
        <w:pStyle w:val="ListParagraph"/>
        <w:numPr>
          <w:ilvl w:val="0"/>
          <w:numId w:val="2"/>
        </w:numPr>
        <w:spacing w:after="160"/>
      </w:pPr>
      <w:r>
        <w:rPr>
          <w:rFonts w:ascii="Arial" w:cs="Arial" w:eastAsia="Arial" w:hAnsi="Arial"/>
          <w:sz w:val="22"/>
          <w:szCs w:val="22"/>
        </w:rPr>
        <w:t xml:space="preserve">Any advertising that violates the Texas Deceptive Trade Practices Act or any other applicable state or federal law.</w:t>
      </w:r>
    </w:p>
    <w:p>
      <w:pPr>
        <w:pStyle w:val="Heading2"/>
        <w:spacing w:after="120" w:before="300"/>
      </w:pPr>
      <w:r>
        <w:rPr>
          <w:rFonts w:ascii="Arial" w:cs="Arial" w:eastAsia="Arial" w:hAnsi="Arial"/>
          <w:b/>
          <w:bCs/>
          <w:sz w:val="26"/>
          <w:szCs w:val="26"/>
        </w:rPr>
        <w:t xml:space="preserve">11. Pre-Approval and Review Process</w:t>
      </w:r>
    </w:p>
    <w:p>
      <w:pPr>
        <w:spacing w:after="160"/>
      </w:pPr>
      <w:r>
        <w:rPr>
          <w:rFonts w:ascii="Arial" w:cs="Arial" w:eastAsia="Arial" w:hAnsi="Arial"/>
          <w:sz w:val="22"/>
          <w:szCs w:val="22"/>
        </w:rPr>
        <w:t xml:space="preserve">All advertising and marketing materials must be reviewed and approved by the Qualifying Individual or their designee prior to publication or distribution. This applies to all media, including social media posts that promote mortgage loan products or services.</w:t>
      </w:r>
    </w:p>
    <w:p>
      <w:pPr>
        <w:spacing w:after="160"/>
      </w:pPr>
      <w:r>
        <w:rPr>
          <w:rFonts w:ascii="Arial" w:cs="Arial" w:eastAsia="Arial" w:hAnsi="Arial"/>
          <w:sz w:val="22"/>
          <w:szCs w:val="22"/>
        </w:rPr>
        <w:t xml:space="preserve">The reviewer must confirm that:</w:t>
      </w:r>
    </w:p>
    <w:p>
      <w:pPr>
        <w:pStyle w:val="ListParagraph"/>
        <w:numPr>
          <w:ilvl w:val="0"/>
          <w:numId w:val="4"/>
        </w:numPr>
        <w:spacing w:after="80"/>
      </w:pPr>
      <w:r>
        <w:rPr>
          <w:rFonts w:ascii="Arial" w:cs="Arial" w:eastAsia="Arial" w:hAnsi="Arial"/>
          <w:sz w:val="22"/>
          <w:szCs w:val="22"/>
        </w:rPr>
        <w:t xml:space="preserve">All required disclosures and identifiers are present.</w:t>
      </w:r>
    </w:p>
    <w:p>
      <w:pPr>
        <w:pStyle w:val="ListParagraph"/>
        <w:numPr>
          <w:ilvl w:val="0"/>
          <w:numId w:val="4"/>
        </w:numPr>
        <w:spacing w:after="80"/>
      </w:pPr>
      <w:r>
        <w:rPr>
          <w:rFonts w:ascii="Arial" w:cs="Arial" w:eastAsia="Arial" w:hAnsi="Arial"/>
          <w:sz w:val="22"/>
          <w:szCs w:val="22"/>
        </w:rPr>
        <w:t xml:space="preserve">No misleading, false, or deceptive content is included.</w:t>
      </w:r>
    </w:p>
    <w:p>
      <w:pPr>
        <w:pStyle w:val="ListParagraph"/>
        <w:numPr>
          <w:ilvl w:val="0"/>
          <w:numId w:val="4"/>
        </w:numPr>
        <w:spacing w:after="80"/>
      </w:pPr>
      <w:r>
        <w:rPr>
          <w:rFonts w:ascii="Arial" w:cs="Arial" w:eastAsia="Arial" w:hAnsi="Arial"/>
          <w:sz w:val="22"/>
          <w:szCs w:val="22"/>
        </w:rPr>
        <w:t xml:space="preserve">Regulation Z and Regulation N requirements are met if rates, terms, or conditions are advertised.</w:t>
      </w:r>
    </w:p>
    <w:p>
      <w:pPr>
        <w:pStyle w:val="ListParagraph"/>
        <w:numPr>
          <w:ilvl w:val="0"/>
          <w:numId w:val="4"/>
        </w:numPr>
        <w:spacing w:after="160"/>
      </w:pPr>
      <w:r>
        <w:rPr>
          <w:rFonts w:ascii="Arial" w:cs="Arial" w:eastAsia="Arial" w:hAnsi="Arial"/>
          <w:sz w:val="22"/>
          <w:szCs w:val="22"/>
        </w:rPr>
        <w:t xml:space="preserve">The advertisement complies with this policy and all applicable laws.</w:t>
      </w:r>
    </w:p>
    <w:p>
      <w:pPr>
        <w:pStyle w:val="Heading2"/>
        <w:spacing w:after="120" w:before="300"/>
      </w:pPr>
      <w:r>
        <w:rPr>
          <w:rFonts w:ascii="Arial" w:cs="Arial" w:eastAsia="Arial" w:hAnsi="Arial"/>
          <w:b/>
          <w:bCs/>
          <w:sz w:val="26"/>
          <w:szCs w:val="26"/>
        </w:rPr>
        <w:t xml:space="preserve">12. Recordkeeping</w:t>
      </w:r>
    </w:p>
    <w:p>
      <w:pPr>
        <w:spacing w:after="160"/>
      </w:pPr>
      <w:r>
        <w:rPr>
          <w:rFonts w:ascii="Arial" w:cs="Arial" w:eastAsia="Arial" w:hAnsi="Arial"/>
          <w:sz w:val="22"/>
          <w:szCs w:val="22"/>
        </w:rPr>
        <w:t xml:space="preserve">The Company must maintain records of all advertisements in the medium in which the advertisement was made, as required by 7 TAC Section 56.204. Records must include:</w:t>
      </w:r>
    </w:p>
    <w:p>
      <w:pPr>
        <w:pStyle w:val="ListParagraph"/>
        <w:numPr>
          <w:ilvl w:val="0"/>
          <w:numId w:val="2"/>
        </w:numPr>
        <w:spacing w:after="80"/>
      </w:pPr>
      <w:r>
        <w:rPr>
          <w:rFonts w:ascii="Arial" w:cs="Arial" w:eastAsia="Arial" w:hAnsi="Arial"/>
          <w:sz w:val="22"/>
          <w:szCs w:val="22"/>
        </w:rPr>
        <w:t xml:space="preserve">A copy or screenshot of the advertisement.</w:t>
      </w:r>
    </w:p>
    <w:p>
      <w:pPr>
        <w:pStyle w:val="ListParagraph"/>
        <w:numPr>
          <w:ilvl w:val="0"/>
          <w:numId w:val="2"/>
        </w:numPr>
        <w:spacing w:after="80"/>
      </w:pPr>
      <w:r>
        <w:rPr>
          <w:rFonts w:ascii="Arial" w:cs="Arial" w:eastAsia="Arial" w:hAnsi="Arial"/>
          <w:sz w:val="22"/>
          <w:szCs w:val="22"/>
        </w:rPr>
        <w:t xml:space="preserve">The date of publication or distribution.</w:t>
      </w:r>
    </w:p>
    <w:p>
      <w:pPr>
        <w:pStyle w:val="ListParagraph"/>
        <w:numPr>
          <w:ilvl w:val="0"/>
          <w:numId w:val="2"/>
        </w:numPr>
        <w:spacing w:after="80"/>
      </w:pPr>
      <w:r>
        <w:rPr>
          <w:rFonts w:ascii="Arial" w:cs="Arial" w:eastAsia="Arial" w:hAnsi="Arial"/>
          <w:sz w:val="22"/>
          <w:szCs w:val="22"/>
        </w:rPr>
        <w:t xml:space="preserve">The medium used (print, digital, social media, etc.).</w:t>
      </w:r>
    </w:p>
    <w:p>
      <w:pPr>
        <w:pStyle w:val="ListParagraph"/>
        <w:numPr>
          <w:ilvl w:val="0"/>
          <w:numId w:val="2"/>
        </w:numPr>
        <w:spacing w:after="160"/>
      </w:pPr>
      <w:r>
        <w:rPr>
          <w:rFonts w:ascii="Arial" w:cs="Arial" w:eastAsia="Arial" w:hAnsi="Arial"/>
          <w:sz w:val="22"/>
          <w:szCs w:val="22"/>
        </w:rPr>
        <w:t xml:space="preserve">The name of the person who approved the material.</w:t>
      </w:r>
    </w:p>
    <w:p>
      <w:pPr>
        <w:spacing w:after="160"/>
      </w:pPr>
      <w:r>
        <w:rPr>
          <w:rFonts w:ascii="Arial" w:cs="Arial" w:eastAsia="Arial" w:hAnsi="Arial"/>
          <w:sz w:val="22"/>
          <w:szCs w:val="22"/>
        </w:rPr>
        <w:t xml:space="preserve">Advertising records must be retained for the duration required by state and federal law and made available to the Texas Department of Savings and Mortgage Lending upon request during any examination or investigation.</w:t>
      </w:r>
    </w:p>
    <w:p>
      <w:pPr>
        <w:pStyle w:val="Heading2"/>
        <w:spacing w:after="120" w:before="300"/>
      </w:pPr>
      <w:r>
        <w:rPr>
          <w:rFonts w:ascii="Arial" w:cs="Arial" w:eastAsia="Arial" w:hAnsi="Arial"/>
          <w:b/>
          <w:bCs/>
          <w:sz w:val="26"/>
          <w:szCs w:val="26"/>
        </w:rPr>
        <w:t xml:space="preserve">13. Training</w:t>
      </w:r>
    </w:p>
    <w:p>
      <w:pPr>
        <w:spacing w:after="160"/>
      </w:pPr>
      <w:r>
        <w:rPr>
          <w:rFonts w:ascii="Arial" w:cs="Arial" w:eastAsia="Arial" w:hAnsi="Arial"/>
          <w:sz w:val="22"/>
          <w:szCs w:val="22"/>
        </w:rPr>
        <w:t xml:space="preserve">All sponsored originators and employees involved in marketing activities will be informed of this policy and the applicable advertising requirements at onboarding and on an annual basis thereafter. The Qualifying Individual is responsible for ensuring that all personnel understand the requirements of this policy.</w:t>
      </w:r>
    </w:p>
    <w:p>
      <w:pPr>
        <w:pStyle w:val="Heading2"/>
        <w:spacing w:after="120" w:before="300"/>
      </w:pPr>
      <w:r>
        <w:rPr>
          <w:rFonts w:ascii="Arial" w:cs="Arial" w:eastAsia="Arial" w:hAnsi="Arial"/>
          <w:b/>
          <w:bCs/>
          <w:sz w:val="26"/>
          <w:szCs w:val="26"/>
        </w:rPr>
        <w:t xml:space="preserve">14. Violations</w:t>
      </w:r>
    </w:p>
    <w:p>
      <w:pPr>
        <w:spacing w:after="160"/>
      </w:pPr>
      <w:r>
        <w:rPr>
          <w:rFonts w:ascii="Arial" w:cs="Arial" w:eastAsia="Arial" w:hAnsi="Arial"/>
          <w:sz w:val="22"/>
          <w:szCs w:val="22"/>
        </w:rPr>
        <w:t xml:space="preserve">Any employee or sponsored originator who publishes or distributes advertising material that does not comply with this policy or applicable law may be subject to corrective action, up to and including termination of sponsorship or employment. The Company will take immediate steps to remove or correct any non-compliant advertising upon discovery.</w:t>
      </w:r>
    </w:p>
    <w:p>
      <w:pPr>
        <w:pStyle w:val="Heading2"/>
        <w:spacing w:after="120" w:before="300"/>
      </w:pPr>
      <w:r>
        <w:rPr>
          <w:rFonts w:ascii="Arial" w:cs="Arial" w:eastAsia="Arial" w:hAnsi="Arial"/>
          <w:b/>
          <w:bCs/>
          <w:sz w:val="26"/>
          <w:szCs w:val="26"/>
        </w:rPr>
        <w:t xml:space="preserve">15. Policy Review</w:t>
      </w:r>
    </w:p>
    <w:p>
      <w:pPr>
        <w:spacing w:after="160"/>
      </w:pPr>
      <w:r>
        <w:rPr>
          <w:rFonts w:ascii="Arial" w:cs="Arial" w:eastAsia="Arial" w:hAnsi="Arial"/>
          <w:sz w:val="22"/>
          <w:szCs w:val="22"/>
        </w:rPr>
        <w:t xml:space="preserve">This policy will be reviewed at least annually by the Qualifying Individual and updated as necessary to reflect changes in applicable law, regulation, or Company operations.</w:t>
      </w:r>
    </w:p>
    <w:p>
      <w:pPr>
        <w:spacing w:before="600"/>
      </w:pPr>
    </w:p>
    <w:p>
      <w:pPr>
        <w:pBdr>
          <w:bottom w:val="single" w:color="000000" w:sz="1" w:space="1"/>
        </w:pBdr>
        <w:spacing w:after="40"/>
      </w:pPr>
      <w:r>
        <w:rPr>
          <w:rFonts w:ascii="Arial" w:cs="Arial" w:eastAsia="Arial" w:hAnsi="Arial"/>
          <w:sz w:val="22"/>
          <w:szCs w:val="22"/>
        </w:rPr>
        <w:t xml:space="preserve">                                                                        </w:t>
      </w:r>
    </w:p>
    <w:p>
      <w:pPr>
        <w:spacing w:after="160"/>
      </w:pPr>
      <w:r>
        <w:rPr>
          <w:rFonts w:ascii="Arial" w:cs="Arial" w:eastAsia="Arial" w:hAnsi="Arial"/>
          <w:b/>
          <w:bCs/>
          <w:sz w:val="22"/>
          <w:szCs w:val="22"/>
        </w:rPr>
        <w:t xml:space="preserve">Case Laviolette, Qualifying Individual</w:t>
      </w:r>
    </w:p>
    <w:p>
      <w:pPr>
        <w:spacing w:after="160"/>
      </w:pPr>
      <w:r>
        <w:rPr>
          <w:rFonts w:ascii="Arial" w:cs="Arial" w:eastAsia="Arial" w:hAnsi="Arial"/>
          <w:sz w:val="22"/>
          <w:szCs w:val="22"/>
        </w:rPr>
        <w:t xml:space="preserve">Kellibrooke Mortgage Partners, LLC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 w:type="paragraph" w:styleId="Heading3">
    <w:name w:val="Heading 3"/>
    <w:basedOn w:val="Normal"/>
    <w:next w:val="Normal"/>
    <w:qFormat/>
    <w:pPr>
      <w:spacing w:after="14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2026-04-10T18:34:17.896Z</dcterms:created>
  <dcterms:modified xsi:type="dcterms:W3CDTF">2026-04-10T18:34:17.897Z</dcterms:modified>
</cp:coreProperties>
</file>

<file path=docProps/custom.xml><?xml version="1.0" encoding="utf-8"?>
<Properties xmlns="http://schemas.openxmlformats.org/officeDocument/2006/custom-properties" xmlns:vt="http://schemas.openxmlformats.org/officeDocument/2006/docPropsVTypes"/>
</file>