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onsolas" w:cs="Consolas" w:eastAsia="Consolas" w:hAnsi="Consolas"/>
          <w:b/>
          <w:bCs/>
          <w:color w:val="0097B2"/>
          <w:spacing w:val="60"/>
          <w:sz w:val="24"/>
          <w:szCs w:val="24"/>
        </w:rPr>
        <w:t xml:space="preserve">CAS PLATFORM</w:t>
      </w:r>
    </w:p>
    <w:p>
      <w:pPr>
        <w:pBdr>
          <w:bottom w:val="single" w:color="0B1F3A" w:sz="18" w:space="8"/>
        </w:pBdr>
        <w:spacing w:after="40" w:before="0"/>
      </w:pPr>
      <w:r>
        <w:rPr>
          <w:rFonts w:ascii="Consolas" w:cs="Consolas" w:eastAsia="Consolas" w:hAnsi="Consolas"/>
          <w:color w:val="5A7A94"/>
          <w:spacing w:val="30"/>
          <w:sz w:val="16"/>
          <w:szCs w:val="16"/>
        </w:rPr>
        <w:t xml:space="preserve">CONJUNCTION DECISION SUPPORT</w:t>
      </w:r>
    </w:p>
    <w:p>
      <w:pPr>
        <w:spacing w:after="1400"/>
      </w:pPr>
      <w:r>
        <w:t xml:space="preserve"/>
      </w:r>
    </w:p>
    <w:p>
      <w:pPr>
        <w:spacing w:after="80"/>
      </w:pPr>
      <w:r>
        <w:rPr>
          <w:rFonts w:ascii="Consolas" w:cs="Consolas" w:eastAsia="Consolas" w:hAnsi="Consolas"/>
          <w:b/>
          <w:bCs/>
          <w:color w:val="0097B2"/>
          <w:spacing w:val="40"/>
          <w:sz w:val="20"/>
          <w:szCs w:val="20"/>
        </w:rPr>
        <w:t xml:space="preserve">SOFTWARE REQUIREMENTS SPECIFICATION</w:t>
      </w:r>
    </w:p>
    <w:p>
      <w:pPr>
        <w:spacing w:after="60"/>
      </w:pPr>
      <w:r>
        <w:rPr>
          <w:b/>
          <w:bCs/>
          <w:color w:val="0B1F3A"/>
          <w:sz w:val="52"/>
          <w:szCs w:val="52"/>
        </w:rPr>
        <w:t xml:space="preserve">Software Requirements Specification</w:t>
      </w:r>
    </w:p>
    <w:p>
      <w:pPr>
        <w:spacing w:after="0"/>
      </w:pPr>
      <w:r>
        <w:rPr>
          <w:color w:val="5A7A94"/>
          <w:sz w:val="26"/>
          <w:szCs w:val="26"/>
        </w:rPr>
        <w:t xml:space="preserve">CAS Platform · Independent European Conjunction Decision Support</w:t>
      </w:r>
    </w:p>
    <w:p>
      <w:pPr>
        <w:spacing w:after="1600"/>
      </w:pPr>
      <w:r>
        <w:t xml:space="preserve"/>
      </w:r>
    </w:p>
    <w:tbl>
      <w:tblPr>
        <w:tblW w:type="dxa" w:w="9360"/>
        <w:tblBorders>
          <w:top w:val="single" w:color="0097B2" w:sz="4"/>
          <w:left w:val="none"/>
          <w:bottom w:val="single" w:color="0097B2" w:sz="4"/>
          <w:right w:val="none"/>
          <w:insideH w:val="none"/>
          <w:insideV w:val="single" w:color="C9D6E0" w:sz="2"/>
        </w:tblBorders>
      </w:tblPr>
      <w:tblGrid>
        <w:gridCol w:w="2340"/>
        <w:gridCol w:w="2340"/>
        <w:gridCol w:w="2340"/>
        <w:gridCol w:w="2340"/>
      </w:tblGrid>
      <w:tr>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VERSION
</w:t>
            </w:r>
            <w:r>
              <w:br/>
              <w:t xml:space="preserve"/>
            </w:r>
            <w:r>
              <w:rPr>
                <w:b/>
                <w:bCs/>
                <w:color w:val="0B1F3A"/>
                <w:sz w:val="20"/>
                <w:szCs w:val="20"/>
              </w:rPr>
              <w:t xml:space="preserve">4.1</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DATE
</w:t>
            </w:r>
            <w:r>
              <w:br/>
              <w:t xml:space="preserve"/>
            </w:r>
            <w:r>
              <w:rPr>
                <w:b/>
                <w:bCs/>
                <w:color w:val="0B1F3A"/>
                <w:sz w:val="20"/>
                <w:szCs w:val="20"/>
              </w:rPr>
              <w:t xml:space="preserve">August 2026</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MATURITY
</w:t>
            </w:r>
            <w:r>
              <w:br/>
              <w:t xml:space="preserve"/>
            </w:r>
            <w:r>
              <w:rPr>
                <w:b/>
                <w:bCs/>
                <w:color w:val="0B1F3A"/>
                <w:sz w:val="20"/>
                <w:szCs w:val="20"/>
              </w:rPr>
              <w:t xml:space="preserve">TRL 5</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STATUS
</w:t>
            </w:r>
            <w:r>
              <w:br/>
              <w:t xml:space="preserve"/>
            </w:r>
            <w:r>
              <w:rPr>
                <w:b/>
                <w:bCs/>
                <w:color w:val="0B1F3A"/>
                <w:sz w:val="20"/>
                <w:szCs w:val="20"/>
              </w:rPr>
              <w:t xml:space="preserve">PUBLIC</w:t>
            </w:r>
          </w:p>
        </w:tc>
      </w:tr>
    </w:tbl>
    <w:p>
      <w:pPr>
        <w:spacing w:after="300"/>
      </w:pPr>
      <w:r>
        <w:t xml:space="preserve"/>
      </w:r>
    </w:p>
    <w:p>
      <w:pPr>
        <w:spacing w:after="0"/>
      </w:pPr>
      <w:r>
        <w:rPr>
          <w:rFonts w:ascii="Consolas" w:cs="Consolas" w:eastAsia="Consolas" w:hAnsi="Consolas"/>
          <w:color w:val="5A7A94"/>
          <w:sz w:val="16"/>
          <w:szCs w:val="16"/>
        </w:rPr>
        <w:t xml:space="preserve">Document ID  </w:t>
      </w:r>
      <w:r>
        <w:rPr>
          <w:rFonts w:ascii="Consolas" w:cs="Consolas" w:eastAsia="Consolas" w:hAnsi="Consolas"/>
          <w:b/>
          <w:bCs/>
          <w:color w:val="13294B"/>
          <w:sz w:val="16"/>
          <w:szCs w:val="16"/>
        </w:rPr>
        <w:t xml:space="preserve">CAS-SRS-004    </w:t>
      </w:r>
      <w:r>
        <w:rPr>
          <w:rFonts w:ascii="Consolas" w:cs="Consolas" w:eastAsia="Consolas" w:hAnsi="Consolas"/>
          <w:color w:val="5A7A94"/>
          <w:sz w:val="16"/>
          <w:szCs w:val="16"/>
        </w:rPr>
        <w:t xml:space="preserve">Standard  </w:t>
      </w:r>
      <w:r>
        <w:rPr>
          <w:rFonts w:ascii="Consolas" w:cs="Consolas" w:eastAsia="Consolas" w:hAnsi="Consolas"/>
          <w:b/>
          <w:bCs/>
          <w:color w:val="13294B"/>
          <w:sz w:val="16"/>
          <w:szCs w:val="16"/>
        </w:rPr>
        <w:t xml:space="preserve">ECSS-E-ST-40C</w:t>
      </w:r>
    </w:p>
    <w:p>
      <w:pPr>
        <w:spacing w:after="2600"/>
      </w:pPr>
      <w:r>
        <w:t xml:space="preserve"/>
      </w:r>
    </w:p>
    <w:p>
      <w:pPr>
        <w:pBdr>
          <w:top w:val="single" w:color="0097B2" w:sz="8" w:space="8"/>
        </w:pBdr>
        <w:spacing w:after="0"/>
        <w:jc w:val="center"/>
      </w:pPr>
      <w:r>
        <w:rPr>
          <w:rFonts w:ascii="Consolas" w:cs="Consolas" w:eastAsia="Consolas" w:hAnsi="Consolas"/>
          <w:b/>
          <w:bCs/>
          <w:color w:val="0097B2"/>
          <w:sz w:val="18"/>
          <w:szCs w:val="18"/>
        </w:rPr>
        <w:t xml:space="preserve">casplatform.com</w:t>
      </w:r>
    </w:p>
    <w:p>
      <w:r>
        <w:br w:type="page"/>
      </w:r>
    </w:p>
    <w:p>
      <w:pPr>
        <w:sectPr>
          <w:pgSz w:w="12240" w:h="15840" w:orient="portrait"/>
          <w:pgMar w:top="1440" w:right="1440" w:bottom="1440" w:left="1440" w:header="708" w:footer="708" w:gutter="0"/>
          <w:pgNumType/>
          <w:docGrid w:linePitch="360"/>
        </w:sectPr>
      </w:pPr>
    </w:p>
    <w:p>
      <w:pPr>
        <w:pStyle w:val="Heading1"/>
      </w:pPr>
      <w:r>
        <w:t xml:space="preserve">Document Information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600"/>
        <w:gridCol w:w="6760"/>
      </w:tblGrid>
      <w:tr>
        <w:trPr>
          <w:tblHeader/>
        </w:trPr>
        <w:tc>
          <w:tcPr>
            <w:tcW w:type="dxa" w:w="26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Field</w:t>
            </w:r>
          </w:p>
        </w:tc>
        <w:tc>
          <w:tcPr>
            <w:tcW w:type="dxa" w:w="67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Value</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 Title</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Platform — Software Requirements Specification</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 ID</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CAS-SRS-004</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Version</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4.1</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Date</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August 2026</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Standard</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ECSS-E-ST-40C (Software Engineering)</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Maturity Level</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TRL 5 (ESA ISO 16290)</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Engine Version</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Legacy Engine v0.7 + FastAPI v2 service layer</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Classification</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w:t>
            </w:r>
          </w:p>
        </w:tc>
      </w:tr>
    </w:tbl>
    <w:p>
      <w:pPr>
        <w:pStyle w:val="Heading2"/>
      </w:pPr>
      <w:r>
        <w:t xml:space="preserve">Revision History</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300"/>
        <w:gridCol w:w="1600"/>
        <w:gridCol w:w="6460"/>
      </w:tblGrid>
      <w:tr>
        <w:trPr>
          <w:tblHeader/>
        </w:trPr>
        <w:tc>
          <w:tcPr>
            <w:tcW w:type="dxa" w:w="13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Version</w:t>
            </w:r>
          </w:p>
        </w:tc>
        <w:tc>
          <w:tcPr>
            <w:tcW w:type="dxa" w:w="16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Date</w:t>
            </w:r>
          </w:p>
        </w:tc>
        <w:tc>
          <w:tcPr>
            <w:tcW w:type="dxa" w:w="64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Changes</w:t>
            </w:r>
          </w:p>
        </w:tc>
      </w:tr>
      <w:tr>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1.0</w:t>
            </w:r>
          </w:p>
        </w:tc>
        <w:tc>
          <w:tcPr>
            <w:tcW w:type="dxa" w:w="1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March 2026</w:t>
            </w:r>
          </w:p>
        </w:tc>
        <w:tc>
          <w:tcPr>
            <w:tcW w:type="dxa" w:w="6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Initial baseline. Pc computation, CDM ingestion, watchlist, cascade analysis v1, web portal.</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2.0</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April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Engine v0.7, 72-hour Trend Analysis, Alert Funnel, Admin Panel, tier enforcement, theme support.</w:t>
            </w:r>
          </w:p>
        </w:tc>
      </w:tr>
      <w:tr>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3.0</w:t>
            </w:r>
          </w:p>
        </w:tc>
        <w:tc>
          <w:tcPr>
            <w:tcW w:type="dxa" w:w="1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April 2026</w:t>
            </w:r>
          </w:p>
        </w:tc>
        <w:tc>
          <w:tcPr>
            <w:tcW w:type="dxa" w:w="6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integration (Re-entry + Fragmentation), NOAA SWPC space weather, email verification, contact form, Historical Events, multi-source catalog (28K+ objects), VLEO support roadmap.</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4.0</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June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Phase 1–3 delivered (drag-aware assessment, station-keeping simulation, fragmentation cascade, fuel trade-space). ML Layer 1 delivered (XGBoost + SHAP, calibrated 3-tier). FastAPI v2 service layer under Strangler-pattern migration. Canonical CDM schema (CCSDS 508.0-B-1 + TraCSS). WebSocket conjunction streaming. Launch screening. Catalog expanded to 30K+ objects.</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4.1</w:t>
            </w:r>
          </w:p>
        </w:tc>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August 2026</w:t>
            </w:r>
          </w:p>
        </w:tc>
        <w:tc>
          <w:tcPr>
            <w:tcW w:type="dxa" w:w="6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Supporting Services restored from summary prose to 20 individually verifiable requirements (EU SST, NOAA SWPC space weather, email alerts, contact form, Historical Events), bringing the specification to 94 requirements and aligning it one-to-one with the Verification Cross-Reference Matrix. Acceptance criteria for the restored set were re-verified against the deployed system and corrected where they had drifted: space-weather endpoint paths, snapshot field set, history range (1-30 days, default 7) and per-user notification-preference storage.</w:t>
            </w:r>
          </w:p>
        </w:tc>
      </w:tr>
    </w:tbl>
    <w:p>
      <w:r>
        <w:br w:type="page"/>
      </w:r>
    </w:p>
    <w:p>
      <w:pPr>
        <w:pStyle w:val="Heading1"/>
      </w:pPr>
      <w:r>
        <w:t xml:space="preserve">1. Scope and Purpose</w:t>
      </w:r>
    </w:p>
    <w:p>
      <w:pPr>
        <w:pStyle w:val="Heading2"/>
      </w:pPr>
      <w:r>
        <w:t xml:space="preserve">1.1 System Purpose</w:t>
      </w:r>
    </w:p>
    <w:p>
      <w:pPr>
        <w:spacing w:after="120" w:line="264"/>
      </w:pPr>
      <w:r>
        <w:rPr>
          <w:rFonts w:ascii="Arial" w:cs="Arial" w:eastAsia="Arial" w:hAnsi="Arial"/>
          <w:color w:val="1A2332"/>
          <w:sz w:val="20"/>
          <w:szCs w:val="20"/>
        </w:rPr>
        <w:t xml:space="preserve">CAS (Conjunction Decision Support) is a web-based platform that translates raw conjunction data into actionable decisions for satellite operators. The system ingests Conjunction Data Messages (CDMs) from public sources, performs independent collision-probability computation, classifies risk per-event, and produces operator-language recommendations including delta-V guidance and cascade-screened maneuver candidates. As of v4.0 the platform additionally provides a drag-aware decision layer for the Very Low Earth Orbit (VLEO) regime and a machine-learning false-positive triage layer (ML Layer 1).</w:t>
      </w:r>
    </w:p>
    <w:p>
      <w:pPr>
        <w:pStyle w:val="Heading2"/>
      </w:pPr>
      <w:r>
        <w:t xml:space="preserve">1.2 Scope</w:t>
      </w:r>
    </w:p>
    <w:p>
      <w:pPr>
        <w:spacing w:after="120" w:line="264"/>
      </w:pPr>
      <w:r>
        <w:rPr>
          <w:rFonts w:ascii="Arial" w:cs="Arial" w:eastAsia="Arial" w:hAnsi="Arial"/>
          <w:color w:val="1A2332"/>
          <w:sz w:val="20"/>
          <w:szCs w:val="20"/>
        </w:rPr>
        <w:t xml:space="preserve">This specification covers the production platform as deployed in August 2026. The system is mid-migration from a single Python HTTP engine to a FastAPI v2 service layer following the Strangler pattern; both run concurrently behind a single reverse proxy. The system comprises:</w:t>
      </w:r>
    </w:p>
    <w:p>
      <w:pPr>
        <w:pStyle w:val="ListParagraph"/>
        <w:numPr>
          <w:ilvl w:val="0"/>
          <w:numId w:val="2"/>
        </w:numPr>
        <w:spacing w:after="60" w:line="260"/>
      </w:pPr>
      <w:r>
        <w:rPr>
          <w:rFonts w:ascii="Arial" w:cs="Arial" w:eastAsia="Arial" w:hAnsi="Arial"/>
          <w:b/>
          <w:bCs/>
          <w:color w:val="1A2332"/>
          <w:sz w:val="20"/>
          <w:szCs w:val="20"/>
        </w:rPr>
        <w:t xml:space="preserve">Data layer: </w:t>
      </w:r>
      <w:r>
        <w:rPr>
          <w:rFonts w:ascii="Arial" w:cs="Arial" w:eastAsia="Arial" w:hAnsi="Arial"/>
          <w:color w:val="1A2332"/>
          <w:sz w:val="20"/>
          <w:szCs w:val="20"/>
        </w:rPr>
        <w:t xml:space="preserve">Space-Track CDM ingestion, Celestrak TLE proxy, EU SST OAuth2 client, NOAA SWPC public feeds, canonical CDM schema mapping, PostgreSQL persistence.</w:t>
      </w:r>
    </w:p>
    <w:p>
      <w:pPr>
        <w:pStyle w:val="ListParagraph"/>
        <w:numPr>
          <w:ilvl w:val="0"/>
          <w:numId w:val="2"/>
        </w:numPr>
        <w:spacing w:after="60" w:line="260"/>
      </w:pPr>
      <w:r>
        <w:rPr>
          <w:rFonts w:ascii="Arial" w:cs="Arial" w:eastAsia="Arial" w:hAnsi="Arial"/>
          <w:b/>
          <w:bCs/>
          <w:color w:val="1A2332"/>
          <w:sz w:val="20"/>
          <w:szCs w:val="20"/>
        </w:rPr>
        <w:t xml:space="preserve">Analysis layer: </w:t>
      </w:r>
      <w:r>
        <w:rPr>
          <w:rFonts w:ascii="Arial" w:cs="Arial" w:eastAsia="Arial" w:hAnsi="Arial"/>
          <w:color w:val="1A2332"/>
          <w:sz w:val="20"/>
          <w:szCs w:val="20"/>
        </w:rPr>
        <w:t xml:space="preserve">Foster/Chan probability of collision, RK4+J2 propagation, Decision Engine, Trend Analyzer, Cascade Engine, VLEO drag-aware engine, ML Layer 1 (XGBoost + SHAP).</w:t>
      </w:r>
    </w:p>
    <w:p>
      <w:pPr>
        <w:pStyle w:val="ListParagraph"/>
        <w:numPr>
          <w:ilvl w:val="0"/>
          <w:numId w:val="2"/>
        </w:numPr>
        <w:spacing w:after="60" w:line="260"/>
      </w:pPr>
      <w:r>
        <w:rPr>
          <w:rFonts w:ascii="Arial" w:cs="Arial" w:eastAsia="Arial" w:hAnsi="Arial"/>
          <w:b/>
          <w:bCs/>
          <w:color w:val="1A2332"/>
          <w:sz w:val="20"/>
          <w:szCs w:val="20"/>
        </w:rPr>
        <w:t xml:space="preserve">Platform layer: </w:t>
      </w:r>
      <w:r>
        <w:rPr>
          <w:rFonts w:ascii="Arial" w:cs="Arial" w:eastAsia="Arial" w:hAnsi="Arial"/>
          <w:color w:val="1A2332"/>
          <w:sz w:val="20"/>
          <w:szCs w:val="20"/>
        </w:rPr>
        <w:t xml:space="preserve">Legacy HTTP engine (port 8765) and FastAPI v2 service (port 8766), JWT and API-key authentication, hourly background scanner, WebSocket streaming, transactional email.</w:t>
      </w:r>
    </w:p>
    <w:p>
      <w:pPr>
        <w:pStyle w:val="ListParagraph"/>
        <w:numPr>
          <w:ilvl w:val="0"/>
          <w:numId w:val="2"/>
        </w:numPr>
        <w:spacing w:after="60" w:line="260"/>
      </w:pPr>
      <w:r>
        <w:rPr>
          <w:rFonts w:ascii="Arial" w:cs="Arial" w:eastAsia="Arial" w:hAnsi="Arial"/>
          <w:b/>
          <w:bCs/>
          <w:color w:val="1A2332"/>
          <w:sz w:val="20"/>
          <w:szCs w:val="20"/>
        </w:rPr>
        <w:t xml:space="preserve">User layer: </w:t>
      </w:r>
      <w:r>
        <w:rPr>
          <w:rFonts w:ascii="Arial" w:cs="Arial" w:eastAsia="Arial" w:hAnsi="Arial"/>
          <w:color w:val="1A2332"/>
          <w:sz w:val="20"/>
          <w:szCs w:val="20"/>
        </w:rPr>
        <w:t xml:space="preserve">Operator Portal, 3D Live Catalog, REST API, Admin Panel, downloadable documentation.</w:t>
      </w:r>
    </w:p>
    <w:p>
      <w:pPr>
        <w:pStyle w:val="Heading2"/>
      </w:pPr>
      <w:r>
        <w:t xml:space="preserve">1.3 Out of Scope</w:t>
      </w:r>
    </w:p>
    <w:p>
      <w:pPr>
        <w:spacing w:after="120" w:line="264"/>
      </w:pPr>
      <w:r>
        <w:rPr>
          <w:rFonts w:ascii="Arial" w:cs="Arial" w:eastAsia="Arial" w:hAnsi="Arial"/>
          <w:color w:val="1A2332"/>
          <w:sz w:val="20"/>
          <w:szCs w:val="20"/>
        </w:rPr>
        <w:t xml:space="preserve">Geostationary orbit analysis, autonomous maneuver execution, and the generation of independent sensor data remain out of scope. ML Layer 1 (false-positive triage) is delivered in v4.0; higher ML layers (uncertainty / confidence quantification) remain future work (see §6.2). CAS is a decision-support layer over public catalog data, not a sensor network; it complements national SSA and observation providers rather than replacing them.</w:t>
      </w:r>
    </w:p>
    <w:p>
      <w:pPr>
        <w:pStyle w:val="Heading2"/>
      </w:pPr>
      <w:r>
        <w:t xml:space="preserve">1.4 Operational Regime</w:t>
      </w:r>
    </w:p>
    <w:p>
      <w:pPr>
        <w:spacing w:after="120" w:line="264"/>
      </w:pPr>
      <w:r>
        <w:rPr>
          <w:rFonts w:ascii="Arial" w:cs="Arial" w:eastAsia="Arial" w:hAnsi="Arial"/>
          <w:color w:val="1A2332"/>
          <w:sz w:val="20"/>
          <w:szCs w:val="20"/>
        </w:rPr>
        <w:t xml:space="preserve">The platform supports two regimes with automatic detection by altitude:</w:t>
      </w:r>
    </w:p>
    <w:p>
      <w:pPr>
        <w:pStyle w:val="ListParagraph"/>
        <w:numPr>
          <w:ilvl w:val="0"/>
          <w:numId w:val="2"/>
        </w:numPr>
        <w:spacing w:after="60" w:line="260"/>
      </w:pPr>
      <w:r>
        <w:rPr>
          <w:rFonts w:ascii="Arial" w:cs="Arial" w:eastAsia="Arial" w:hAnsi="Arial"/>
          <w:b/>
          <w:bCs/>
          <w:color w:val="1A2332"/>
          <w:sz w:val="20"/>
          <w:szCs w:val="20"/>
        </w:rPr>
        <w:t xml:space="preserve">LEO regime </w:t>
      </w:r>
      <w:r>
        <w:rPr>
          <w:rFonts w:ascii="Arial" w:cs="Arial" w:eastAsia="Arial" w:hAnsi="Arial"/>
          <w:color w:val="1A2332"/>
          <w:sz w:val="20"/>
          <w:szCs w:val="20"/>
        </w:rPr>
        <w:t xml:space="preserve">(200–2000 km): the full conjunction decision-support pipeline.</w:t>
      </w:r>
    </w:p>
    <w:p>
      <w:pPr>
        <w:pStyle w:val="ListParagraph"/>
        <w:numPr>
          <w:ilvl w:val="0"/>
          <w:numId w:val="2"/>
        </w:numPr>
        <w:spacing w:after="60" w:line="260"/>
      </w:pPr>
      <w:r>
        <w:rPr>
          <w:rFonts w:ascii="Arial" w:cs="Arial" w:eastAsia="Arial" w:hAnsi="Arial"/>
          <w:b/>
          <w:bCs/>
          <w:color w:val="1A2332"/>
          <w:sz w:val="20"/>
          <w:szCs w:val="20"/>
        </w:rPr>
        <w:t xml:space="preserve">VLEO regime </w:t>
      </w:r>
      <w:r>
        <w:rPr>
          <w:rFonts w:ascii="Arial" w:cs="Arial" w:eastAsia="Arial" w:hAnsi="Arial"/>
          <w:color w:val="1A2332"/>
          <w:sz w:val="20"/>
          <w:szCs w:val="20"/>
        </w:rPr>
        <w:t xml:space="preserve">(below ~450 km, drag-dominated): a drag-aware decision layer delivered across Phases 1–3. The engine detects VLEO/hybrid altitudes and augments the assessment with atmospheric-drag effects.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POSITIONING</w:t>
            </w:r>
          </w:p>
          <w:p>
            <w:pPr>
              <w:spacing w:after="40" w:line="252"/>
            </w:pPr>
            <w:r>
              <w:rPr>
                <w:color w:val="1A2332"/>
                <w:sz w:val="18"/>
                <w:szCs w:val="18"/>
              </w:rPr>
              <w:t xml:space="preserve">CAS provides conjunction DECISION SUPPORT, not collision avoidance and not autonomous maneuvering. The deterministic Pc and the operator's judgement remain authoritative; every ML and VLEO output is a triage or planning signal that the operator weighs and acts on. Human-in-the-loop is preserved throughout.</w:t>
            </w:r>
          </w:p>
        </w:tc>
      </w:tr>
    </w:tbl>
    <w:p>
      <w:pPr>
        <w:pStyle w:val="Heading1"/>
      </w:pPr>
      <w:r>
        <w:t xml:space="preserve">2. System Overview</w:t>
      </w:r>
    </w:p>
    <w:p>
      <w:pPr>
        <w:pStyle w:val="Heading2"/>
      </w:pPr>
      <w:r>
        <w:t xml:space="preserve">2.1 Architecture</w:t>
      </w:r>
    </w:p>
    <w:p>
      <w:pPr>
        <w:spacing w:after="120" w:line="264"/>
      </w:pPr>
      <w:r>
        <w:rPr>
          <w:rFonts w:ascii="Arial" w:cs="Arial" w:eastAsia="Arial" w:hAnsi="Arial"/>
          <w:color w:val="1A2332"/>
          <w:sz w:val="20"/>
          <w:szCs w:val="20"/>
        </w:rPr>
        <w:t xml:space="preserve">CAS runs as a single-server deployment in the European Union. Two application processes run concurrently under systemd: the legacy Python HTTP engine (port 8765) and a FastAPI v2 service (port 8766). Nginx provides TLS termination and reverse-proxy routing between the two; a CDN sits in front for static-asset delivery and edge caching. PostgreSQL is the primary persistence layer.</w:t>
      </w:r>
    </w:p>
    <w:p>
      <w:pPr>
        <w:spacing w:after="120" w:line="264"/>
      </w:pPr>
      <w:r>
        <w:rPr>
          <w:rFonts w:ascii="Arial" w:cs="Arial" w:eastAsia="Arial" w:hAnsi="Arial"/>
          <w:color w:val="1A2332"/>
          <w:sz w:val="20"/>
          <w:szCs w:val="20"/>
        </w:rPr>
        <w:t xml:space="preserve">New functionality is delivered exclusively in the FastAPI v2 layer under the Strangler pattern: the legacy engine is never modified for new features and is progressively superseded. The deployment region is the European Union, ensuring all derived analysis remains within EU jurisdiction even where raw source data is global.</w:t>
      </w:r>
    </w:p>
    <w:p>
      <w:pPr>
        <w:pStyle w:val="Heading2"/>
      </w:pPr>
      <w:r>
        <w:t xml:space="preserve">2.2 User Roles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200"/>
        <w:gridCol w:w="7160"/>
      </w:tblGrid>
      <w:tr>
        <w:trPr>
          <w:tblHeader/>
        </w:trPr>
        <w:tc>
          <w:tcPr>
            <w:tcW w:type="dxa" w:w="2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Role</w:t>
            </w:r>
          </w:p>
        </w:tc>
        <w:tc>
          <w:tcPr>
            <w:tcW w:type="dxa" w:w="7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Capabilities</w:t>
            </w:r>
          </w:p>
        </w:tc>
      </w:tr>
      <w:tr>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Admin</w:t>
            </w:r>
          </w:p>
        </w:tc>
        <w:tc>
          <w:tcPr>
            <w:tcW w:type="dxa" w:w="7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operator capabilities plus user lifecycle management, tier assignment, and audit-log access via the Admin Panel.</w:t>
            </w:r>
          </w:p>
        </w:tc>
      </w:tr>
      <w:tr>
        <w:tc>
          <w:tcPr>
            <w:tcW w:type="dxa" w:w="2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w:t>
            </w:r>
          </w:p>
        </w:tc>
        <w:tc>
          <w:tcPr>
            <w:tcW w:type="dxa" w:w="7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management, conjunction screening, Decision Engine output, trend analysis, cascade analysis, VLEO drag-aware tools, ML Layer 1 triage, REST API access.</w:t>
            </w:r>
          </w:p>
        </w:tc>
      </w:tr>
      <w:tr>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Viewer</w:t>
            </w:r>
          </w:p>
        </w:tc>
        <w:tc>
          <w:tcPr>
            <w:tcW w:type="dxa" w:w="7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Read-only access to dashboards and conjunction history.</w:t>
            </w:r>
          </w:p>
        </w:tc>
      </w:tr>
    </w:tbl>
    <w:p>
      <w:pPr>
        <w:pStyle w:val="Heading2"/>
      </w:pPr>
      <w:r>
        <w:t xml:space="preserve">2.3 Subscription Tiers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400"/>
        <w:gridCol w:w="1500"/>
        <w:gridCol w:w="1860"/>
        <w:gridCol w:w="1700"/>
        <w:gridCol w:w="1500"/>
        <w:gridCol w:w="1400"/>
      </w:tblGrid>
      <w:tr>
        <w:trPr>
          <w:tblHeader/>
        </w:trPr>
        <w:tc>
          <w:tcPr>
            <w:tcW w:type="dxa" w:w="1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Tier</w:t>
            </w:r>
          </w:p>
        </w:tc>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Price</w:t>
            </w:r>
          </w:p>
        </w:tc>
        <w:tc>
          <w:tcPr>
            <w:tcW w:type="dxa" w:w="18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Satellites</w:t>
            </w:r>
          </w:p>
        </w:tc>
        <w:tc>
          <w:tcPr>
            <w:tcW w:type="dxa" w:w="1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Latency</w:t>
            </w:r>
          </w:p>
        </w:tc>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Cascade</w:t>
            </w:r>
          </w:p>
        </w:tc>
        <w:tc>
          <w:tcPr>
            <w:tcW w:type="dxa" w:w="1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API</w:t>
            </w:r>
          </w:p>
        </w:tc>
      </w:tr>
      <w:tr>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Free</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$0/mo</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w:t>
            </w:r>
          </w:p>
        </w:tc>
        <w:tc>
          <w:tcPr>
            <w:tcW w:type="dxa" w:w="1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Delayed</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t>
            </w:r>
          </w:p>
        </w:tc>
      </w:tr>
      <w:tr>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Starter</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$999/mo</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5</w:t>
            </w:r>
          </w:p>
        </w:tc>
        <w:tc>
          <w:tcPr>
            <w:tcW w:type="dxa" w:w="1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Limited</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Yes</w:t>
            </w:r>
          </w:p>
        </w:tc>
      </w:tr>
      <w:tr>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$1,999/mo</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20</w:t>
            </w:r>
          </w:p>
        </w:tc>
        <w:tc>
          <w:tcPr>
            <w:tcW w:type="dxa" w:w="1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Unlimited</w:t>
            </w:r>
          </w:p>
        </w:tc>
      </w:tr>
      <w:tr>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Enterprise</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Custom</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Unlimited</w:t>
            </w:r>
          </w:p>
        </w:tc>
        <w:tc>
          <w:tcPr>
            <w:tcW w:type="dxa" w:w="1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 + SLA</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 Priority</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Custom</w:t>
            </w:r>
          </w:p>
        </w:tc>
      </w:tr>
    </w:tbl>
    <w:p>
      <w:pPr>
        <w:spacing w:after="120" w:line="264"/>
      </w:pPr>
      <w:r>
        <w:rPr>
          <w:rFonts w:ascii="Arial" w:cs="Arial" w:eastAsia="Arial" w:hAnsi="Arial"/>
          <w:i/>
          <w:iCs/>
          <w:color w:val="5A7A94"/>
          <w:sz w:val="18"/>
          <w:szCs w:val="18"/>
        </w:rPr>
        <w:t xml:space="preserve">During the beta period, all tier features are accessible. Tier enforcement activates at general availability.</w:t>
      </w:r>
    </w:p>
    <w:p>
      <w:r>
        <w:br w:type="page"/>
      </w:r>
    </w:p>
    <w:p>
      <w:pPr>
        <w:pStyle w:val="Heading1"/>
      </w:pPr>
      <w:r>
        <w:t xml:space="preserve">3. Functional Requirements</w:t>
      </w:r>
    </w:p>
    <w:p>
      <w:pPr>
        <w:pStyle w:val="Heading2"/>
      </w:pPr>
      <w:r>
        <w:t xml:space="preserve">3.1 Data Layer</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Space-Track CDM ingestion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fetch CDMs from the Space-Track cdm_public endpoint hourly via cron. Filters: TCA window 3 days, minimum Pc 1×10⁻⁴.</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persistence with deduplication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CDM record shall be stored in PostgreSQL using UPSERT on cdm_id to prevent duplication.</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Celestrak TLE proxy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/tle/&lt;group&gt; endpoint shall fetch TLE data from Celestrak and serve it as JSON. Cache TTL: 6 hours.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Multi-source catalog ingestion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catalog shall ingest from Celestrak (active, debris families, rocket bodies) and Space-Track (DEBRIS, ROCKET BODY, PAYLOAD, UNKNOWN). Deduplication on NORAD ID. Cache size 30,000+ objects.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Database indexes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conjunction_events table shall maintain a composite index on (norad1, norad2, tca) and a unique constraint on cdm_id.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Canonical CDM schema</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map heterogeneous source CDMs into a canonical model aligned with CCSDS 508.0-B-1 and TraCSS-Spec-001 v2.1 (135 fields, 9 enumerations, per-field coverage reporting). Source mappers shall report field coverage and never fabricate absent values.</w:t>
            </w:r>
          </w:p>
        </w:tc>
      </w:tr>
    </w:tbl>
    <w:p>
      <w:pPr>
        <w:pStyle w:val="Heading2"/>
      </w:pPr>
      <w:r>
        <w:t xml:space="preserve">3.2 Probability of Collision Engine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Foster/Chan 2D Pc</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collision_probability() function shall implement the Foster/Chan 2D Gaussian method. Where covariance is available it shall be used; otherwise a fixed σ calibration applies (full covariance is an expanded-data target).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Orbital propagation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Propagation shall use 4th-order Runge-Kutta with J2 perturbation.</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Risk classification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&gt; 1×10⁻⁴ → RED; Pc &gt; 1×10⁻⁵ → YELLOW; Pc ≤ 1×10⁻⁵ → GREEN. Strict greater-than comparison (conservative design).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consistency validation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Pc values shall be consistent with the Foster/Chan analytical reference to ≥99% across the validated CDM corpus. Consistency is not equivalent to absolute accuracy in the absence of full covariance.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FR-P-005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Human-readable Pc format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values shall be presented in '1 in N' format in user-facing surfaces, with scientific notation in operator-grade displays alongside threshold context.</w:t>
            </w:r>
          </w:p>
        </w:tc>
      </w:tr>
    </w:tbl>
    <w:p>
      <w:pPr>
        <w:pStyle w:val="Heading2"/>
      </w:pPr>
      <w:r>
        <w:t xml:space="preserve">3.3 Decision Engine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Automated decision generation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conjunction event shall produce recommendation, priority, confidence, and maneuver_summary fields automatically.</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Recommendation taxonomy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values: 'Maneuver advised' (RED or Pc ≥ 1×10⁻⁴), 'Monitor' (YELLOW or TCA passed), 'No action' (GREEN). RED downgraded to Monitor when TCA has elapsed.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Priority scoring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0–100 score combining Pc weight (0–40), miss-distance weight (0–30), and TCA proximity weight (0–30). ≥60 → HIGH; ≥30 → MEDIUM; otherwise LOW.</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Confidence rating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levels: HIGH (TCA &lt; 12 h, extreme Pc), MEDIUM (TCA 12–48 h or moderate Pc), LOW (TCA &gt; 48 h or ambiguous).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summary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Operator-language summary with auto-computed delta-V, altitude change, and time window.</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 funnel</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alert_summary shall expose {total, review, critical}: total=all CDMs, review=YELLOW+RED, critical=RED only.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persistence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decision_results table shall record norad_id, recommendation, priority, confidence, maneuver_summary, max_pc, min_miss_m, and timestamp per evaluation.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API</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/api/decision (recent), /api/decision/dashboard (aggregate + funnel), /api/decision/scan (fresh scan + decisions).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FR-DE-009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 decision recording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/api/operator-decision shall record an operator response (APPROVE MANEUVER / CONTINUE MONITORING) with timestamp, conjunction reference, and optional notes for audit.</w:t>
            </w:r>
          </w:p>
        </w:tc>
      </w:tr>
    </w:tbl>
    <w:p>
      <w:pPr>
        <w:pStyle w:val="Heading2"/>
      </w:pPr>
      <w:r>
        <w:t xml:space="preserve">3.4 72-Hour Trend Analysis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computation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compute_trend() shall analyze 72 hours of historical Pc per satellite, bucketed in 6-hour windows, producing a regression slope.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classification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states: 'increasing', 'decreasing', 'stable' based on slope direction and magnitude.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Risk forecast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_simple_forecast() shall project the current trend forward as 'escalating', 'de-escalating', or 'stable' for the next 72 hours.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Trend API</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/api/trend/&lt;norad&gt; per-satellite; GET /api/trend/forecast for the full watchlist.</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FR-TR-005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Insufficient data flag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flag insufficient data when fewer than three observations exist in the trend window.</w:t>
            </w:r>
          </w:p>
        </w:tc>
      </w:tr>
    </w:tbl>
    <w:p>
      <w:pPr>
        <w:pStyle w:val="Heading2"/>
      </w:pPr>
      <w:r>
        <w:t xml:space="preserve">3.5 Cascade Analysis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candidate generation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generate_maneuver_candidates() shall produce 12 candidates: 4 directions (prograde, retrograde, normal, anti-normal) × 3 magnitudes (0.1, 0.5, 1.0 m/s).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Catalog screening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fetch_catalog_tles() shall retrieve tracked objects within ±100 km of target altitude. Expected scan size: 10,000+ objects.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Secondary risk evaluation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candidate's post-maneuver trajectory shall be propagated and screened against the catalog. Approaches under 10 km flagged as secondary risk.</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Pareto optimization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select_optimal_maneuver_v2() shall select the lowest delta-V candidate with zero secondary risk.</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API</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/cascade with {norad_id, tle_line1, tle_line2, target_norad}. Response includes candidates, optimal selection, and secondary-risk report.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FR-CA-006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Performance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cascade analysis shall complete within ~10 seconds via parallelized scanning.</w:t>
            </w:r>
          </w:p>
        </w:tc>
      </w:tr>
    </w:tbl>
    <w:p>
      <w:r>
        <w:br w:type="page"/>
      </w:r>
    </w:p>
    <w:p>
      <w:pPr>
        <w:pStyle w:val="Heading2"/>
      </w:pPr>
      <w:r>
        <w:t xml:space="preserve">3.6 VLEO Drag-Aware Decision Layer</w:t>
      </w:r>
    </w:p>
    <w:p>
      <w:pPr>
        <w:spacing w:after="120" w:line="264"/>
      </w:pPr>
      <w:r>
        <w:rPr>
          <w:rFonts w:ascii="Arial" w:cs="Arial" w:eastAsia="Arial" w:hAnsi="Arial"/>
          <w:color w:val="1A2332"/>
          <w:sz w:val="20"/>
          <w:szCs w:val="20"/>
        </w:rPr>
        <w:t xml:space="preserve">Delivered across Phases 1–3, the VLEO layer augments conjunction decision support for drag-dominated orbits. It is implemented entirely in the FastAPI v2 service (Strangler pattern; the legacy engine is untouched). All outputs are decision support — not autonomous maneuvering.</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Regime detection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detect_regime() shall classify an object as VLEO (&lt; 400 km) or hybrid (&lt; 450 km) and activate the drag-aware layer accordingly.</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Atmospheric density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Density shall use the NRLMSIS 2.1 model where available (pymsis), with a solar-flux-scaled USSA76 fallback. The active model shall be reported with every result (model-tagged).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Drag-aware propagation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Propagation shall use an RK4 Cowell integrator with atmospheric drag, producing decay and position-uncertainty-inflation estimates.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 make-up ΔV forecast</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drag_delta_v_forecast() shall estimate the daily and horizon ΔV required to maintain altitude against drag, plus the unmaintained decay path.</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Urgency triage signal</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vleo_urgency_score() shall produce a 0–100 triage signal combining drag-inflated geometry, Pc, and TCA proximity. This is a triage signal, not a Pc replacement.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Station-keeping simulation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simulate_continuous_maneuver() shall simulate continuous drag-compensation (full-hold / partial / ballistic), returning the altitude profile, thruster ΔV, and average thrust force. Integration shall keep sub-steps small relative to the orbital period to avoid numerical decay artefacts.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cascade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assess_vleo_cascade() shall estimate the drag-limited self-cleaning timeline after a fragmentation using the standard breakup model (catastrophic threshold 40 J/g; fragment count N ∝ M^0.75 · Lc^−1.71) and per-size drag lifetime. Output: fragment count, size-class clearing (50/90/99%), transient risk window, downward sweep.</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Fuel trade-space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vleo_fuel_tradespace() shall present collision-avoidance ΔV versus maneuver lead time (Clohessy-Wiltshire, ΔV ≈ Δsep/(3·t)) and the saving from reusing the prograde-aligned fraction (≤30%) of the drag make-up. Options and costs only — not a maneuver command.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FR-VL-009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API</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/api/v2/vleo/status (public); POST /assess, /delta-v, /maneuver-sim, /cascade, /fuel-tradespace (operator). Server-side validation on all inputs.</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VLEO IS / IS-NOT</w:t>
            </w:r>
          </w:p>
          <w:p>
            <w:pPr>
              <w:spacing w:after="40" w:line="252"/>
            </w:pPr>
            <w:r>
              <w:rPr>
                <w:rFonts w:ascii="Arial" w:cs="Arial" w:eastAsia="Arial" w:hAnsi="Arial"/>
                <w:b/>
                <w:bCs/>
                <w:color w:val="1A7F4B"/>
                <w:sz w:val="20"/>
                <w:szCs w:val="20"/>
              </w:rPr>
              <w:t xml:space="preserve">IS: </w:t>
            </w:r>
            <w:r>
              <w:rPr>
                <w:rFonts w:ascii="Arial" w:cs="Arial" w:eastAsia="Arial" w:hAnsi="Arial"/>
                <w:color w:val="1A2332"/>
                <w:sz w:val="20"/>
                <w:szCs w:val="20"/>
              </w:rPr>
              <w:t xml:space="preserve">drag-aware decision support — uncertainty inflation, ΔV budgets, maneuver-timing trade-space, self-cleaning timelines.</w:t>
            </w:r>
          </w:p>
          <w:p>
            <w:pPr>
              <w:spacing w:after="40" w:line="252"/>
            </w:pPr>
            <w:r>
              <w:rPr>
                <w:rFonts w:ascii="Arial" w:cs="Arial" w:eastAsia="Arial" w:hAnsi="Arial"/>
                <w:b/>
                <w:bCs/>
                <w:color w:val="B26A00"/>
                <w:sz w:val="20"/>
                <w:szCs w:val="20"/>
              </w:rPr>
              <w:t xml:space="preserve">IS NOT: </w:t>
            </w:r>
            <w:r>
              <w:rPr>
                <w:rFonts w:ascii="Arial" w:cs="Arial" w:eastAsia="Arial" w:hAnsi="Arial"/>
                <w:color w:val="1A2332"/>
                <w:sz w:val="20"/>
                <w:szCs w:val="20"/>
              </w:rPr>
              <w:t xml:space="preserve">autonomous maneuvering, a propellant guarantee, persistent-Kessler modelling, or a full EVOLVE/LEGEND breakup simulation. VLEO is self-cleaning by drag; the operator decides and executes.</w:t>
            </w:r>
          </w:p>
        </w:tc>
      </w:tr>
    </w:tbl>
    <w:p>
      <w:pPr>
        <w:pStyle w:val="Heading2"/>
      </w:pPr>
      <w:r>
        <w:t xml:space="preserve">3.7 ML Layer 1 — False-Positive Triage</w:t>
      </w:r>
    </w:p>
    <w:p>
      <w:pPr>
        <w:spacing w:after="120" w:line="264"/>
      </w:pPr>
      <w:r>
        <w:rPr>
          <w:rFonts w:ascii="Arial" w:cs="Arial" w:eastAsia="Arial" w:hAnsi="Arial"/>
          <w:color w:val="1A2332"/>
          <w:sz w:val="20"/>
          <w:szCs w:val="20"/>
        </w:rPr>
        <w:t xml:space="preserve">ML Layer 1 is a calibrated gradient-boosted triage layer that defers to the deterministic Pc funnel whenever input data is sparse. It is implemented in the FastAPI v2 service.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Model</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 XGBoost classifier shall score conjunction risk. Validated discrimination AUC ≈ 0.95 on held-out data. Label-leakage features shall be excluded and their absence verified via SHAP attribution.</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Calibrated tiers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Output shall be mapped to calibrated tiers: RED (≥ 0.137), YELLOW (≥ 0.051), GREEN (&lt; 0.051). Thresholds are calibration-derived, not arbitrary.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Explainability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scored event shall expose SHAP feature attributions (TreeExplainer) so operators can see the drivers of a score.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Coverage gate / fail-safe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Where a CDM lacks sufficient covered fields (coverage gate), the model shall return UNAVAILABLE and the system shall defer to the deterministic Pc funnel rather than guess.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FR-ML-005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Decision-support boundary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output is a triage signal that augments — never overrides — the deterministic Pc and operator judgement.</w:t>
            </w:r>
          </w:p>
        </w:tc>
      </w:tr>
    </w:tbl>
    <w:p>
      <w:pPr>
        <w:pStyle w:val="Heading2"/>
      </w:pPr>
      <w:r>
        <w:t xml:space="preserve">3.8 Real-Time Streaming, Launch &amp; Mission Tools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WebSocket conjunction stream</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service shall expose a WebSocket channel that pushes new/updated conjunctions to subscribed operator clients, with heartbeat and reconnect support.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Launch screening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screen scheduled launch windows (TheSpaceDevs feed) against the catalog and surface conjunction exposure for planning.</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Mission design tools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portal shall provide mission-planning utilities (launch schedule context and maneuver/lead-time trade-spaces) as decision support.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FR-RT-004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Multi-channel notifications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Operators shall be able to receive alerts across multiple channels per their notification preferences.</w:t>
            </w:r>
          </w:p>
        </w:tc>
      </w:tr>
    </w:tbl>
    <w:p>
      <w:pPr>
        <w:pStyle w:val="Heading2"/>
      </w:pPr>
      <w:r>
        <w:t xml:space="preserve">3.9 Watchlist and Satellite Management</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Add satellite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/watchlist/add with norad_id and sat_name (TLE optional). Tier limit enforced server-side.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Remove satellite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/watchlist/remove with norad_id.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List watchlist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/watchlist returns all satellites for the authenticated user.</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Automated scanning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background scanner shall run hourly using parallel execution across every watchlisted satellite.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Tier enforcement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Add operations exceeding the tier satellite limit shall return HTTP 403 with an upgrade message.</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FR-WL-006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Watchlist-scoped history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Conjunction history shall be scoped per user: admins see global, operators see watchlist-scoped, unauthenticated access fails closed.</w:t>
            </w:r>
          </w:p>
        </w:tc>
      </w:tr>
    </w:tbl>
    <w:p>
      <w:pPr>
        <w:pStyle w:val="Heading2"/>
      </w:pPr>
      <w:r>
        <w:t xml:space="preserve">3.10 Admin Panel</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 CRUD</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/admin/user/create, /update, /delete (with cascade protection), /set-tier, /toggle. Admin role required.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System statistics</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/admin/stats returns user counts, tier distribution, watchlist totals, CDM totals.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Audit log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admin operations shall be persisted to admin_log with action, target_user_id, details, admin_user_id, user-agent, client IP, and timestamp.</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FR-AD-004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 listing</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/admin/users returns all users with tier, watchlist count, and last-login timestamp.</w:t>
            </w:r>
          </w:p>
        </w:tc>
      </w:tr>
    </w:tbl>
    <w:p>
      <w:pPr>
        <w:pStyle w:val="Heading2"/>
      </w:pPr>
      <w:r>
        <w:t xml:space="preserve">3.11 Authentication and Account Lifecycle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JWT issuance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/auth/login returns a JWT (24h TTL) using HMAC-SHA256 standard 3-segment tokens. Subsequent requests use Authorization: Bearer &lt;token&gt;.</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 key authentication</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user receives an API key (cas_&lt;32-hex&gt;). Header: Authorization: ApiKey &lt;key&gt;. POST /auth/regenerate-key issues a new key.</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Registration with email verification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/auth/register requires email, password, name; generates an API key and dispatches a single-use verification link. Features remain gated until verification completes.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Verification email deliverability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Verification emails shall be SPF/DKIM-signed and include RFC 8058 List-Unsubscribe headers.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FR-AU-005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Password reset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Forgotten-password flow via single-use email link with bounded TTL.</w:t>
            </w:r>
          </w:p>
        </w:tc>
      </w:tr>
    </w:tbl>
    <w:p>
      <w:pPr>
        <w:pStyle w:val="Heading2"/>
      </w:pPr>
      <w:r>
        <w:t xml:space="preserve">3.12 Supporting Services</w:t>
      </w:r>
    </w:p>
    <w:p>
      <w:pPr>
        <w:spacing w:after="120" w:line="264"/>
      </w:pPr>
      <w:r>
        <w:rPr>
          <w:rFonts w:ascii="Arial" w:cs="Arial" w:eastAsia="Arial" w:hAnsi="Arial"/>
          <w:color w:val="1A2332"/>
          <w:sz w:val="20"/>
          <w:szCs w:val="20"/>
        </w:rPr>
        <w:t xml:space="preserve">The services in this section were established in earlier baselines and remain in force. In v4.0 they were condensed into a single summary paragraph; v4.1 restores them as individually identifiable requirements so that every row of the Verification Cross-Reference Matrix has a matching requirement statement. Each acceptance criterion below was re-verified against the deployed system and corrected where it had drifted from the implementation.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OAuth2 client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authenticate against the EU SST API using OAuth2 via its Keycloak identity provider, refreshing access tokens as required.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Re-entry feed sync</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Re-entry Analysis service shall be polled every 6 hours by scheduled job. Events are persisted to eusst_re_events with object name, NORAD identifier, re-entry epoch and uncertainty window.</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feed sync</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Fragmentation Analysis service shall be polled every 6 hours by the same scheduled job. Events are persisted to eusst_fg_events with object name, NORAD identifier, fragmentation epoch, regime and parent object.</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FR-EU-004</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Incremental sync state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eusst_sync_state table shall record the last successful synchronisation timestamp per service to support incremental OData pagination and safe resumption after failure.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Tier-aware presentation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Raw EU SST payloads shall not be exposed to end users. Only derived and aggregate analysis shall be visible, in accordance with EU SST Terms of Service section 5.1. Aggregate views are available to all tiers.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FR-EU-006</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Portal presentation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Three sub-sections shall be provided: Aggregate (all tiers), Re-entries (Starter and above), Fragmentations (Starter and above). Featured events are highlighted with countdown timers for upcoming re-entries.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NOAA SWPC ingestion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 NOAA Space Weather Prediction Center feeds shall be polled hourly by scheduled job (space_weather_sync.py) for planetary Kp index, F10.7 solar radio flux, X-ray peak flux and active alerts.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Snapshot storage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poll shall persist one row to space_weather_snapshots containing fetched_at, kp_index, kp_estimated, kp_label, kp_status, f107_flux, f107_status, xray_class, xray_flux_peak, xray_status and active_alerts.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Operational interpretation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portal shall present current conditions in operator language: an elevated Kp index is flagged as a TLE-accuracy concern, and elevated F10.7 flux is flagged as increased atmospheric drag.</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FR-SW-004</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Overview integration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 Overview status card shall present current Kp, F10.7 and X-ray peak together with an interpretive status label derived from the Kp scale (quiet, unsettled, or the corresponding geomagnetic storm level).</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FR-SW-005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Programmatic access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 /space-weather/current shall return the latest snapshot. GET /space-weather/history?days=N shall return the ordered series, with N clamped to the range 1-30 and defaulting to 7.</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FR-EM-001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 dispatch</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When the background scanner classifies a conjunction involving a watchlisted satellite at or above the recipient's configured risk level, an alert email shall be dispatched to the satellite owner.</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FR-EM-002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scoping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Alerts shall be issued only for satellites present in the recipient's own watchlist. No cross-tenant alerting shall occur.</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FR-EM-003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Configurable threshold</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Per-user preferences shall be stored in notification_prefs (alert_email, min_risk) and exposed via GET/POST /api/notification-prefs. Where no record exists, the system defaults to alert_email enabled at min_risk RED.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FR-EM-004</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SMTP transport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Outbound mail shall be sent over authenticated SMTP on an implicit-TLS submission port via the platform mail provider.</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FR-CT-001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Submission endpoint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 /api/contact shall accept name, email, organization, subject and message, and persist the submission to contact_submissions.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FR-CT-002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Anti-abuse controls</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 hidden honeypot field, a rate limit of 3 submissions per hour per source address, and a minimum-length check on the message body shall be enforced.</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FR-CT-003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Notification</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accepted submission shall trigger a multipart SMTP notification to the platform contact address.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FR-HE-001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Reference set</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portal shall present a curated set of reference conjunctions derived from real historical CDMs. Each entry records source CDM identifier, the NORAD pair, TCA, miss distance, Pc, risk level, the decision the platform produced, the actual outcome and the lesson drawn.</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FR-HE-002</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 synthetic data</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Reference entries shall be drawn exclusively from real historical events. Synthetic or illustrative data is prohibited in this view.</w:t>
            </w:r>
          </w:p>
        </w:tc>
      </w:tr>
    </w:tbl>
    <w:p>
      <w:r>
        <w:br w:type="page"/>
      </w:r>
    </w:p>
    <w:p>
      <w:pPr>
        <w:pStyle w:val="Heading1"/>
      </w:pPr>
      <w:r>
        <w:t xml:space="preserve">4. Non-Functional Requirements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500"/>
        <w:gridCol w:w="2700"/>
        <w:gridCol w:w="5160"/>
      </w:tblGrid>
      <w:tr>
        <w:trPr>
          <w:tblHeader/>
        </w:trPr>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ID</w:t>
            </w:r>
          </w:p>
        </w:tc>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Requirement</w:t>
            </w:r>
          </w:p>
        </w:tc>
        <w:tc>
          <w:tcPr>
            <w:tcW w:type="dxa" w:w="5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Acceptance Criteria</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NFR-001</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Uptime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 system shall operate continuously, recovering automatically from process termination via systemd.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NFR-002</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 response time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Median response below 500 ms for read endpoints. Cascade analysis below 15 seconds. VLEO simulations bounded to single-digit seconds.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NFR-003</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consistency</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computation shall remain consistent with the Foster/Chan reference to ≥99% across the validated corpus.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NFR-004</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Security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traffic over HTTPS via CDN edge certificates. HMAC-SHA256 JWTs. bcrypt password hashing. Honeypot and rate-limit on public submission endpoints.</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NFR-005</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Network hardening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Origin firewall (UFW) restricts inbound 80/443 to CDN ranges. fail2ban active on SSH.</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NFR-006</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GDPR compliance</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EU-resident infrastructure, data minimization, user deletion via Admin Panel, published Privacy Policy and Terms of Service.</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NFR-007</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data handling</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Compliance with EU SST ToS §5.1: raw third-party data shall not be redistributed; only derived analysis is exposed.</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NFR-008</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 sovereignty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derived analysis shall be processed and stored within the EU, even where raw source data is global.</w:t>
            </w:r>
          </w:p>
        </w:tc>
      </w:tr>
      <w:tr>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NFR-009</w:t>
            </w:r>
          </w:p>
        </w:tc>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Model governance</w:t>
            </w:r>
          </w:p>
        </w:tc>
        <w:tc>
          <w:tcPr>
            <w:tcW w:type="dxa" w:w="5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outputs shall be calibrated, explainable (SHAP), and fail-safe (defer to deterministic Pc on sparse input). No autonomous decisions.</w:t>
            </w:r>
          </w:p>
        </w:tc>
      </w:tr>
      <w:tr>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NFR-010</w:t>
            </w:r>
          </w:p>
        </w:tc>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Theme &amp; accessibility</w:t>
            </w:r>
          </w:p>
        </w:tc>
        <w:tc>
          <w:tcPr>
            <w:tcW w:type="dxa" w:w="5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Portal and landing shall support dark/light themes, keyboard navigation, ARIA roles, and reduced-motion preferences.</w:t>
            </w:r>
          </w:p>
        </w:tc>
      </w:tr>
    </w:tbl>
    <w:p>
      <w:pPr>
        <w:pStyle w:val="Heading1"/>
      </w:pPr>
      <w:r>
        <w:t xml:space="preserve">5. REST API Reference</w:t>
      </w:r>
    </w:p>
    <w:p>
      <w:pPr>
        <w:spacing w:after="120" w:line="264"/>
      </w:pPr>
      <w:r>
        <w:rPr>
          <w:rFonts w:ascii="Arial" w:cs="Arial" w:eastAsia="Arial" w:hAnsi="Arial"/>
          <w:color w:val="1A2332"/>
          <w:sz w:val="20"/>
          <w:szCs w:val="20"/>
        </w:rPr>
        <w:t xml:space="preserve">Endpoints are served via the production hostname. The legacy engine (port 8765) and FastAPI v2 service (port 8766) are routed by Nginx; v2 endpoints are namespaced under /api/v2. Authenticated endpoints require a valid JWT or API key.</w:t>
      </w:r>
    </w:p>
    <w:p>
      <w:pPr>
        <w:pStyle w:val="Heading2"/>
      </w:pPr>
      <w:r>
        <w:t xml:space="preserve">5.1 Public Endpoints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200"/>
        <w:gridCol w:w="3360"/>
        <w:gridCol w:w="4800"/>
      </w:tblGrid>
      <w:tr>
        <w:trPr>
          <w:tblHeader/>
        </w:trPr>
        <w:tc>
          <w:tcPr>
            <w:tcW w:type="dxa" w:w="1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Method</w:t>
            </w:r>
          </w:p>
        </w:tc>
        <w:tc>
          <w:tcPr>
            <w:tcW w:type="dxa" w:w="33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Endpoint</w:t>
            </w:r>
          </w:p>
        </w:tc>
        <w:tc>
          <w:tcPr>
            <w:tcW w:type="dxa" w:w="48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Description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/health</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System health and feature flags</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/api/status</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HTML status dashboard</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/api/metrics</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Prometheus-compatible metrics</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/api/history</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Recent conjunction events (scoped)</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/api/v2/vleo/status</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layer readiness + active density model</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/api/contact</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Submit contact form</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/auth/register</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Account registration with email verification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/auth/login</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Issue JWT token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/auth/verify</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Activate account via email link</w:t>
            </w:r>
          </w:p>
        </w:tc>
      </w:tr>
    </w:tbl>
    <w:p>
      <w:pPr>
        <w:pStyle w:val="Heading2"/>
      </w:pPr>
      <w:r>
        <w:t xml:space="preserve">5.2 Authenticated Endpoints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200"/>
        <w:gridCol w:w="3960"/>
        <w:gridCol w:w="4200"/>
      </w:tblGrid>
      <w:tr>
        <w:trPr>
          <w:tblHeader/>
        </w:trPr>
        <w:tc>
          <w:tcPr>
            <w:tcW w:type="dxa" w:w="1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Method</w:t>
            </w:r>
          </w:p>
        </w:tc>
        <w:tc>
          <w:tcPr>
            <w:tcW w:type="dxa" w:w="39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Endpoint</w:t>
            </w:r>
          </w:p>
        </w:tc>
        <w:tc>
          <w:tcPr>
            <w:tcW w:type="dxa" w:w="4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Description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/auth/me</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Current user profile and tier</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 /watchlist/add · /remove · /scan</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management and scanning</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/api/decision · /dashboard · /scan</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results, aggregate, fresh scan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/api/operator-decision</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Record operator response (audit)</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/api/trend/&lt;norad&gt; · /forecast</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72h trend and watchlist forecast</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maneuver analysis</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/api/v2/vleo/assess</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conjunction assessment</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/api/v2/vleo/delta-v</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Drag make-up ΔV forecast</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/api/v2/vleo/maneuver-sim</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Station-keeping simulation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/api/v2/vleo/cascade</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cascade (self-cleaning)</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/api/v2/vleo/fuel-tradespace</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fuel trade-space</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/api/eusst/aggregate · /reentries · /fragmentations</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derived analysis</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3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/api/spaceweather/current · /history</w:t>
            </w:r>
          </w:p>
        </w:tc>
        <w:tc>
          <w:tcPr>
            <w:tcW w:type="dxa" w:w="4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Space-weather state and history</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WS</w:t>
            </w:r>
          </w:p>
        </w:tc>
        <w:tc>
          <w:tcPr>
            <w:tcW w:type="dxa" w:w="3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/api/v2/ws/conjunctions</w:t>
            </w:r>
          </w:p>
        </w:tc>
        <w:tc>
          <w:tcPr>
            <w:tcW w:type="dxa" w:w="4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 conjunction stream</w:t>
            </w:r>
          </w:p>
        </w:tc>
      </w:tr>
    </w:tbl>
    <w:p>
      <w:r>
        <w:br w:type="page"/>
      </w:r>
    </w:p>
    <w:p>
      <w:pPr>
        <w:pStyle w:val="Heading1"/>
      </w:pPr>
      <w:r>
        <w:t xml:space="preserve">6. Known Limitations and Future Work</w:t>
      </w:r>
    </w:p>
    <w:p>
      <w:pPr>
        <w:pStyle w:val="Heading2"/>
      </w:pPr>
      <w:r>
        <w:t xml:space="preserve">6.1 Known Limitations</w:t>
      </w:r>
    </w:p>
    <w:p>
      <w:pPr>
        <w:pStyle w:val="ListParagraph"/>
        <w:numPr>
          <w:ilvl w:val="0"/>
          <w:numId w:val="2"/>
        </w:numPr>
        <w:spacing w:after="60" w:line="260"/>
      </w:pPr>
      <w:r>
        <w:rPr>
          <w:rFonts w:ascii="Arial" w:cs="Arial" w:eastAsia="Arial" w:hAnsi="Arial"/>
          <w:b/>
          <w:bCs/>
          <w:color w:val="1A2332"/>
          <w:sz w:val="20"/>
          <w:szCs w:val="20"/>
        </w:rPr>
        <w:t xml:space="preserve">Covariance matrix: </w:t>
      </w:r>
      <w:r>
        <w:rPr>
          <w:rFonts w:ascii="Arial" w:cs="Arial" w:eastAsia="Arial" w:hAnsi="Arial"/>
          <w:color w:val="1A2332"/>
          <w:sz w:val="20"/>
          <w:szCs w:val="20"/>
        </w:rPr>
        <w:t xml:space="preserve">the public Space-Track CDM class does not always expose covariance. Where absent, a fixed σ calibration applies; full covariance is an expanded-data-access target.</w:t>
      </w:r>
    </w:p>
    <w:p>
      <w:pPr>
        <w:pStyle w:val="ListParagraph"/>
        <w:numPr>
          <w:ilvl w:val="0"/>
          <w:numId w:val="2"/>
        </w:numPr>
        <w:spacing w:after="60" w:line="260"/>
      </w:pPr>
      <w:r>
        <w:rPr>
          <w:rFonts w:ascii="Arial" w:cs="Arial" w:eastAsia="Arial" w:hAnsi="Arial"/>
          <w:b/>
          <w:bCs/>
          <w:color w:val="1A2332"/>
          <w:sz w:val="20"/>
          <w:szCs w:val="20"/>
        </w:rPr>
        <w:t xml:space="preserve">ML scope: </w:t>
      </w:r>
      <w:r>
        <w:rPr>
          <w:rFonts w:ascii="Arial" w:cs="Arial" w:eastAsia="Arial" w:hAnsi="Arial"/>
          <w:color w:val="1A2332"/>
          <w:sz w:val="20"/>
          <w:szCs w:val="20"/>
        </w:rPr>
        <w:t xml:space="preserve">ML Layer 1 covers false-positive triage only and fails safe to the deterministic Pc funnel on sparse input. Confidence/uncertainty quantification is future work.</w:t>
      </w:r>
    </w:p>
    <w:p>
      <w:pPr>
        <w:pStyle w:val="ListParagraph"/>
        <w:numPr>
          <w:ilvl w:val="0"/>
          <w:numId w:val="2"/>
        </w:numPr>
        <w:spacing w:after="60" w:line="260"/>
      </w:pPr>
      <w:r>
        <w:rPr>
          <w:rFonts w:ascii="Arial" w:cs="Arial" w:eastAsia="Arial" w:hAnsi="Arial"/>
          <w:b/>
          <w:bCs/>
          <w:color w:val="1A2332"/>
          <w:sz w:val="20"/>
          <w:szCs w:val="20"/>
        </w:rPr>
        <w:t xml:space="preserve">VLEO geometry: </w:t>
      </w:r>
      <w:r>
        <w:rPr>
          <w:rFonts w:ascii="Arial" w:cs="Arial" w:eastAsia="Arial" w:hAnsi="Arial"/>
          <w:color w:val="1A2332"/>
          <w:sz w:val="20"/>
          <w:szCs w:val="20"/>
        </w:rPr>
        <w:t xml:space="preserve">station-keeping, cascade and fuel tools use representative geometry at the satellite's altitude; a specific conjunction uses its real miss vector, TCA and relative velocity. VLEO physics estimates carry ±30–50% sensitivity over the solar cycle.</w:t>
      </w:r>
    </w:p>
    <w:p>
      <w:pPr>
        <w:pStyle w:val="ListParagraph"/>
        <w:numPr>
          <w:ilvl w:val="0"/>
          <w:numId w:val="2"/>
        </w:numPr>
        <w:spacing w:after="60" w:line="260"/>
      </w:pPr>
      <w:r>
        <w:rPr>
          <w:rFonts w:ascii="Arial" w:cs="Arial" w:eastAsia="Arial" w:hAnsi="Arial"/>
          <w:b/>
          <w:bCs/>
          <w:color w:val="1A2332"/>
          <w:sz w:val="20"/>
          <w:szCs w:val="20"/>
        </w:rPr>
        <w:t xml:space="preserve">Forecast model: </w:t>
      </w:r>
      <w:r>
        <w:rPr>
          <w:rFonts w:ascii="Arial" w:cs="Arial" w:eastAsia="Arial" w:hAnsi="Arial"/>
          <w:color w:val="1A2332"/>
          <w:sz w:val="20"/>
          <w:szCs w:val="20"/>
        </w:rPr>
        <w:t xml:space="preserve">72h forecasting uses linear extrapolation; treat as indicative only.</w:t>
      </w:r>
    </w:p>
    <w:p>
      <w:pPr>
        <w:pStyle w:val="ListParagraph"/>
        <w:numPr>
          <w:ilvl w:val="0"/>
          <w:numId w:val="2"/>
        </w:numPr>
        <w:spacing w:after="60" w:line="260"/>
      </w:pPr>
      <w:r>
        <w:rPr>
          <w:rFonts w:ascii="Arial" w:cs="Arial" w:eastAsia="Arial" w:hAnsi="Arial"/>
          <w:b/>
          <w:bCs/>
          <w:color w:val="1A2332"/>
          <w:sz w:val="20"/>
          <w:szCs w:val="20"/>
        </w:rPr>
        <w:t xml:space="preserve">Single-server deployment: </w:t>
      </w:r>
      <w:r>
        <w:rPr>
          <w:rFonts w:ascii="Arial" w:cs="Arial" w:eastAsia="Arial" w:hAnsi="Arial"/>
          <w:color w:val="1A2332"/>
          <w:sz w:val="20"/>
          <w:szCs w:val="20"/>
        </w:rPr>
        <w:t xml:space="preserve">high-availability redundancy is not yet configured; faults interrupt service until automatic recovery.</w:t>
      </w:r>
    </w:p>
    <w:p>
      <w:pPr>
        <w:pStyle w:val="Heading2"/>
      </w:pPr>
      <w:r>
        <w:t xml:space="preserve">6.2 TRL 6 Targets</w:t>
      </w:r>
    </w:p>
    <w:p>
      <w:pPr>
        <w:pStyle w:val="ListParagraph"/>
        <w:numPr>
          <w:ilvl w:val="0"/>
          <w:numId w:val="2"/>
        </w:numPr>
        <w:spacing w:after="60" w:line="260"/>
      </w:pPr>
      <w:r>
        <w:rPr>
          <w:color w:val="1A2332"/>
          <w:sz w:val="20"/>
          <w:szCs w:val="20"/>
        </w:rPr>
        <w:t xml:space="preserve">Expanded Space-Track data access for full covariance integration.</w:t>
      </w:r>
    </w:p>
    <w:p>
      <w:pPr>
        <w:pStyle w:val="ListParagraph"/>
        <w:numPr>
          <w:ilvl w:val="0"/>
          <w:numId w:val="2"/>
        </w:numPr>
        <w:spacing w:after="60" w:line="260"/>
      </w:pPr>
      <w:r>
        <w:rPr>
          <w:color w:val="1A2332"/>
          <w:sz w:val="20"/>
          <w:szCs w:val="20"/>
        </w:rPr>
        <w:t xml:space="preserve">ML Layer 2 — uncertainty / confidence quantification (e.g. MC-dropout or quantile methods) to bound the precision gap, distinct from trend classification.</w:t>
      </w:r>
    </w:p>
    <w:p>
      <w:pPr>
        <w:pStyle w:val="ListParagraph"/>
        <w:numPr>
          <w:ilvl w:val="0"/>
          <w:numId w:val="2"/>
        </w:numPr>
        <w:spacing w:after="60" w:line="260"/>
      </w:pPr>
      <w:r>
        <w:rPr>
          <w:color w:val="1A2332"/>
          <w:sz w:val="20"/>
          <w:szCs w:val="20"/>
        </w:rPr>
        <w:t xml:space="preserve">Operational pilot deployments with shadow-mode parallel evaluation.</w:t>
      </w:r>
    </w:p>
    <w:p>
      <w:pPr>
        <w:pStyle w:val="ListParagraph"/>
        <w:numPr>
          <w:ilvl w:val="0"/>
          <w:numId w:val="2"/>
        </w:numPr>
        <w:spacing w:after="60" w:line="260"/>
      </w:pPr>
      <w:r>
        <w:rPr>
          <w:color w:val="1A2332"/>
          <w:sz w:val="20"/>
          <w:szCs w:val="20"/>
        </w:rPr>
        <w:t xml:space="preserve">Independent third-party performance validation report.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B26A00" w:sz="24"/>
              <w:bottom w:val="none"/>
              <w:right w:val="none"/>
            </w:tcBorders>
            <w:shd w:fill="FBF3E6" w:val="clear"/>
            <w:tcMar>
              <w:top w:type="dxa" w:w="100"/>
              <w:left w:type="dxa" w:w="160"/>
              <w:bottom w:type="dxa" w:w="100"/>
              <w:right w:type="dxa" w:w="140"/>
            </w:tcMar>
          </w:tcPr>
          <w:p>
            <w:pPr>
              <w:spacing w:after="60"/>
            </w:pPr>
            <w:r>
              <w:rPr>
                <w:rFonts w:ascii="Consolas" w:cs="Consolas" w:eastAsia="Consolas" w:hAnsi="Consolas"/>
                <w:b/>
                <w:bCs/>
                <w:color w:val="B26A00"/>
                <w:spacing w:val="20"/>
                <w:sz w:val="16"/>
                <w:szCs w:val="16"/>
              </w:rPr>
              <w:t xml:space="preserve">ML LAYER 2 — DESIGN NOTE</w:t>
            </w:r>
          </w:p>
          <w:p>
            <w:pPr>
              <w:spacing w:after="40" w:line="252"/>
            </w:pPr>
            <w:r>
              <w:rPr>
                <w:color w:val="1A2332"/>
                <w:sz w:val="18"/>
                <w:szCs w:val="18"/>
              </w:rPr>
              <w:t xml:space="preserve">Trend-classification forecasting (e.g. LSTM over Pc history) was evaluated and found unsuitable for this data: the per-CDM process is effectively Markovian, a naive-persistence baseline is already strong, and escalation tends to be sudden rather than trended. The correct Layer 2 direction is therefore uncertainty/confidence quantification, not trend prediction.</w:t>
            </w:r>
          </w:p>
        </w:tc>
      </w:tr>
    </w:tbl>
    <w:p>
      <w:pPr>
        <w:pStyle w:val="Heading2"/>
      </w:pPr>
      <w:r>
        <w:t xml:space="preserve">6.3 VLEO — Delivered (Phases 1–3)</w:t>
      </w:r>
    </w:p>
    <w:p>
      <w:pPr>
        <w:spacing w:after="120" w:line="264"/>
      </w:pPr>
      <w:r>
        <w:rPr>
          <w:rFonts w:ascii="Arial" w:cs="Arial" w:eastAsia="Arial" w:hAnsi="Arial"/>
          <w:color w:val="1A2332"/>
          <w:sz w:val="20"/>
          <w:szCs w:val="20"/>
        </w:rPr>
        <w:t xml:space="preserve">The drag-aware decision layer described in v3.0 as a Q3 2026 roadmap item is delivered in v4.0:</w:t>
      </w:r>
    </w:p>
    <w:p>
      <w:pPr>
        <w:pStyle w:val="ListParagraph"/>
        <w:numPr>
          <w:ilvl w:val="0"/>
          <w:numId w:val="2"/>
        </w:numPr>
        <w:spacing w:after="60" w:line="260"/>
      </w:pPr>
      <w:r>
        <w:rPr>
          <w:color w:val="1A2332"/>
          <w:sz w:val="20"/>
          <w:szCs w:val="20"/>
        </w:rPr>
        <w:t xml:space="preserve">Phase 1–2: regime detection, NRLMSIS 2.1 density (USSA76 fallback), drag-aware propagation, position-uncertainty inflation, drag make-up ΔV forecast, urgency triage signal.</w:t>
      </w:r>
    </w:p>
    <w:p>
      <w:pPr>
        <w:pStyle w:val="ListParagraph"/>
        <w:numPr>
          <w:ilvl w:val="0"/>
          <w:numId w:val="2"/>
        </w:numPr>
        <w:spacing w:after="60" w:line="260"/>
      </w:pPr>
      <w:r>
        <w:rPr>
          <w:color w:val="1A2332"/>
          <w:sz w:val="20"/>
          <w:szCs w:val="20"/>
        </w:rPr>
        <w:t xml:space="preserve">Phase 3: continuous station-keeping simulation, fragmentation cascade (standard breakup model, self-cleaning timeline), and combined drag-makeup + collision-avoidance fuel trade-space.</w:t>
      </w:r>
    </w:p>
    <w:p>
      <w:pPr>
        <w:spacing w:after="120" w:line="264"/>
      </w:pPr>
      <w:r>
        <w:rPr>
          <w:rFonts w:ascii="Arial" w:cs="Arial" w:eastAsia="Arial" w:hAnsi="Arial"/>
          <w:color w:val="1A2332"/>
          <w:sz w:val="20"/>
          <w:szCs w:val="20"/>
        </w:rPr>
        <w:t xml:space="preserve">VLEO shares the existing portal, authentication, and API surface; the FastAPI v2 layer extends rather than replaces the LEO physics model, consistent with the Strangler-pattern migration.</w:t>
      </w:r>
    </w:p>
    <w:p>
      <w:pPr>
        <w:pStyle w:val="Heading1"/>
      </w:pPr>
      <w:r>
        <w:t xml:space="preserve">7. Database Schema Summary</w:t>
      </w:r>
    </w:p>
    <w:p>
      <w:pPr>
        <w:spacing w:after="120" w:line="264"/>
      </w:pPr>
      <w:r>
        <w:rPr>
          <w:rFonts w:ascii="Arial" w:cs="Arial" w:eastAsia="Arial" w:hAnsi="Arial"/>
          <w:color w:val="1A2332"/>
          <w:sz w:val="20"/>
          <w:szCs w:val="20"/>
        </w:rPr>
        <w:t xml:space="preserve">The PostgreSQL schema includes the following core tables: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3000"/>
        <w:gridCol w:w="6360"/>
      </w:tblGrid>
      <w:tr>
        <w:trPr>
          <w:tblHeader/>
        </w:trPr>
        <w:tc>
          <w:tcPr>
            <w:tcW w:type="dxa" w:w="30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Table</w:t>
            </w:r>
          </w:p>
        </w:tc>
        <w:tc>
          <w:tcPr>
            <w:tcW w:type="dxa" w:w="63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Purpose</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Account records: email, password hash, role, tier, API key, verification status.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 watchlist_results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Per-user satellite watchlist and per-scan results.</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conjunction_events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Ingested CDMs with UNIQUE constraint on cdm_id.</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decision_results / operator_decisions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Engine output and operator-recorded responses (audit).</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admin_log</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Audit log of admin operations (with UA and client IP).</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notification_prefs</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Per-user multi-channel alert configuration.</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contact_submissions</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 contact-form submissions.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eusst_re_events / eusst_fg_events / eusst_sync_state</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re-entry, fragmentation, and incremental-sync watermarks.</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spaceweather_history</w:t>
            </w:r>
          </w:p>
        </w:tc>
        <w:tc>
          <w:tcPr>
            <w:tcW w:type="dxa" w:w="6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Hourly NOAA SWPC snapshots.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leo_debris_ranking</w:t>
            </w:r>
          </w:p>
        </w:tc>
        <w:tc>
          <w:tcPr>
            <w:tcW w:type="dxa" w:w="6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Weekly debris-ranking snapshots (Top-N by conjunction frequency).</w:t>
            </w:r>
          </w:p>
        </w:tc>
      </w:tr>
    </w:tbl>
    <w:p>
      <w:pPr>
        <w:pStyle w:val="Heading1"/>
      </w:pPr>
      <w:r>
        <w:t xml:space="preserve">8. Standards Compliance</w:t>
      </w:r>
    </w:p>
    <w:p>
      <w:pPr>
        <w:pStyle w:val="ListParagraph"/>
        <w:numPr>
          <w:ilvl w:val="0"/>
          <w:numId w:val="2"/>
        </w:numPr>
        <w:spacing w:after="60" w:line="260"/>
      </w:pPr>
      <w:r>
        <w:rPr>
          <w:rFonts w:ascii="Arial" w:cs="Arial" w:eastAsia="Arial" w:hAnsi="Arial"/>
          <w:b/>
          <w:bCs/>
          <w:color w:val="1A2332"/>
          <w:sz w:val="20"/>
          <w:szCs w:val="20"/>
        </w:rPr>
        <w:t xml:space="preserve">ECSS-E-ST-40C — Software Engineering: </w:t>
      </w:r>
      <w:r>
        <w:rPr>
          <w:rFonts w:ascii="Arial" w:cs="Arial" w:eastAsia="Arial" w:hAnsi="Arial"/>
          <w:color w:val="1A2332"/>
          <w:sz w:val="20"/>
          <w:szCs w:val="20"/>
        </w:rPr>
        <w:t xml:space="preserve">requirements specification format and traceability.</w:t>
      </w:r>
    </w:p>
    <w:p>
      <w:pPr>
        <w:pStyle w:val="ListParagraph"/>
        <w:numPr>
          <w:ilvl w:val="0"/>
          <w:numId w:val="2"/>
        </w:numPr>
        <w:spacing w:after="60" w:line="260"/>
      </w:pPr>
      <w:r>
        <w:rPr>
          <w:rFonts w:ascii="Arial" w:cs="Arial" w:eastAsia="Arial" w:hAnsi="Arial"/>
          <w:b/>
          <w:bCs/>
          <w:color w:val="1A2332"/>
          <w:sz w:val="20"/>
          <w:szCs w:val="20"/>
        </w:rPr>
        <w:t xml:space="preserve">ESA ISO 16290 — TRL definition: </w:t>
      </w:r>
      <w:r>
        <w:rPr>
          <w:rFonts w:ascii="Arial" w:cs="Arial" w:eastAsia="Arial" w:hAnsi="Arial"/>
          <w:color w:val="1A2332"/>
          <w:sz w:val="20"/>
          <w:szCs w:val="20"/>
        </w:rPr>
        <w:t xml:space="preserve">TRL 5 corresponds to component validation in a relevant environment.</w:t>
      </w:r>
    </w:p>
    <w:p>
      <w:pPr>
        <w:pStyle w:val="ListParagraph"/>
        <w:numPr>
          <w:ilvl w:val="0"/>
          <w:numId w:val="2"/>
        </w:numPr>
        <w:spacing w:after="60" w:line="260"/>
      </w:pPr>
      <w:r>
        <w:rPr>
          <w:rFonts w:ascii="Arial" w:cs="Arial" w:eastAsia="Arial" w:hAnsi="Arial"/>
          <w:b/>
          <w:bCs/>
          <w:color w:val="1A2332"/>
          <w:sz w:val="20"/>
          <w:szCs w:val="20"/>
        </w:rPr>
        <w:t xml:space="preserve">CCSDS 508.0-B-1 / TraCSS-Spec-001 v2.1: </w:t>
      </w:r>
      <w:r>
        <w:rPr>
          <w:rFonts w:ascii="Arial" w:cs="Arial" w:eastAsia="Arial" w:hAnsi="Arial"/>
          <w:color w:val="1A2332"/>
          <w:sz w:val="20"/>
          <w:szCs w:val="20"/>
        </w:rPr>
        <w:t xml:space="preserve">canonical CDM data model alignment.</w:t>
      </w:r>
    </w:p>
    <w:p>
      <w:pPr>
        <w:pStyle w:val="ListParagraph"/>
        <w:numPr>
          <w:ilvl w:val="0"/>
          <w:numId w:val="2"/>
        </w:numPr>
        <w:spacing w:after="60" w:line="260"/>
      </w:pPr>
      <w:r>
        <w:rPr>
          <w:rFonts w:ascii="Arial" w:cs="Arial" w:eastAsia="Arial" w:hAnsi="Arial"/>
          <w:b/>
          <w:bCs/>
          <w:color w:val="1A2332"/>
          <w:sz w:val="20"/>
          <w:szCs w:val="20"/>
        </w:rPr>
        <w:t xml:space="preserve">GDPR (EU 2016/679): </w:t>
      </w:r>
      <w:r>
        <w:rPr>
          <w:rFonts w:ascii="Arial" w:cs="Arial" w:eastAsia="Arial" w:hAnsi="Arial"/>
          <w:color w:val="1A2332"/>
          <w:sz w:val="20"/>
          <w:szCs w:val="20"/>
        </w:rPr>
        <w:t xml:space="preserve">data protection by design; user rights via Admin Panel.</w:t>
      </w:r>
    </w:p>
    <w:p>
      <w:pPr>
        <w:pStyle w:val="ListParagraph"/>
        <w:numPr>
          <w:ilvl w:val="0"/>
          <w:numId w:val="2"/>
        </w:numPr>
        <w:spacing w:after="60" w:line="260"/>
      </w:pPr>
      <w:r>
        <w:rPr>
          <w:rFonts w:ascii="Arial" w:cs="Arial" w:eastAsia="Arial" w:hAnsi="Arial"/>
          <w:b/>
          <w:bCs/>
          <w:color w:val="1A2332"/>
          <w:sz w:val="20"/>
          <w:szCs w:val="20"/>
        </w:rPr>
        <w:t xml:space="preserve">RFC 8058: </w:t>
      </w:r>
      <w:r>
        <w:rPr>
          <w:rFonts w:ascii="Arial" w:cs="Arial" w:eastAsia="Arial" w:hAnsi="Arial"/>
          <w:color w:val="1A2332"/>
          <w:sz w:val="20"/>
          <w:szCs w:val="20"/>
        </w:rPr>
        <w:t xml:space="preserve">list-unsubscribe headers for email deliverability.</w:t>
      </w:r>
    </w:p>
    <w:p>
      <w:pPr>
        <w:pStyle w:val="Heading1"/>
      </w:pPr>
      <w:r>
        <w:t xml:space="preserve">9. Document Contact</w:t>
      </w:r>
    </w:p>
    <w:p>
      <w:pPr>
        <w:spacing w:after="120" w:line="264"/>
      </w:pPr>
      <w:r>
        <w:rPr>
          <w:rFonts w:ascii="Arial" w:cs="Arial" w:eastAsia="Arial" w:hAnsi="Arial"/>
          <w:color w:val="1A2332"/>
          <w:sz w:val="20"/>
          <w:szCs w:val="20"/>
        </w:rPr>
        <w:t xml:space="preserve">For questions concerning this specification:</w:t>
      </w:r>
    </w:p>
    <w:p>
      <w:pPr>
        <w:spacing w:after="120" w:line="264"/>
      </w:pPr>
      <w:r>
        <w:rPr>
          <w:rFonts w:ascii="Arial" w:cs="Arial" w:eastAsia="Arial" w:hAnsi="Arial"/>
          <w:b/>
          <w:bCs/>
          <w:color w:val="1A2332"/>
          <w:sz w:val="20"/>
          <w:szCs w:val="20"/>
        </w:rPr>
        <w:t xml:space="preserve">Email: </w:t>
      </w:r>
      <w:r>
        <w:rPr>
          <w:rFonts w:ascii="Consolas" w:cs="Consolas" w:eastAsia="Consolas" w:hAnsi="Consolas"/>
          <w:color w:val="13294B"/>
          <w:sz w:val="18"/>
          <w:szCs w:val="18"/>
        </w:rPr>
        <w:t xml:space="preserve">contact@casplatform.com</w:t>
      </w:r>
    </w:p>
    <w:p>
      <w:pPr>
        <w:spacing w:after="120" w:line="264"/>
      </w:pPr>
      <w:r>
        <w:rPr>
          <w:rFonts w:ascii="Arial" w:cs="Arial" w:eastAsia="Arial" w:hAnsi="Arial"/>
          <w:b/>
          <w:bCs/>
          <w:color w:val="1A2332"/>
          <w:sz w:val="20"/>
          <w:szCs w:val="20"/>
        </w:rPr>
        <w:t xml:space="preserve">Web: </w:t>
      </w:r>
      <w:r>
        <w:rPr>
          <w:rFonts w:ascii="Consolas" w:cs="Consolas" w:eastAsia="Consolas" w:hAnsi="Consolas"/>
          <w:color w:val="13294B"/>
          <w:sz w:val="18"/>
          <w:szCs w:val="18"/>
        </w:rPr>
        <w:t xml:space="preserve">casplatform.com</w:t>
      </w:r>
    </w:p>
    <w:p>
      <w:pPr>
        <w:spacing w:after="160"/>
      </w:pPr>
      <w:r>
        <w:t xml:space="preserve"/>
      </w:r>
    </w:p>
    <w:p>
      <w:pPr>
        <w:spacing w:after="120" w:line="264"/>
      </w:pPr>
      <w:r>
        <w:rPr>
          <w:rFonts w:ascii="Arial" w:cs="Arial" w:eastAsia="Arial" w:hAnsi="Arial"/>
          <w:i/>
          <w:iCs/>
          <w:color w:val="5A7A94"/>
          <w:sz w:val="18"/>
          <w:szCs w:val="18"/>
        </w:rPr>
        <w:t xml:space="preserve">CAS Platform is an independent European conjunction decision support platform. Data sources include Space-Track, Celestrak, EU SST, and NOAA SWPC. CAS is not affiliated with or endorsed by any data provider. All derived analysis is processed within the European Union.</w:t>
      </w:r>
    </w:p>
    <w:p>
      <w:pPr>
        <w:pBdr>
          <w:bottom w:val="single" w:color="0097B2" w:sz="8" w:space="1"/>
        </w:pBdr>
        <w:spacing w:after="60" w:before="60"/>
      </w:pPr>
      <w:r>
        <w:t xml:space="preserve"/>
      </w:r>
    </w:p>
    <w:p>
      <w:pPr>
        <w:spacing w:after="120" w:line="264"/>
        <w:jc w:val="center"/>
      </w:pPr>
      <w:r>
        <w:rPr>
          <w:rFonts w:ascii="Arial" w:cs="Arial" w:eastAsia="Arial" w:hAnsi="Arial"/>
          <w:b/>
          <w:bCs/>
          <w:color w:val="0B1F3A"/>
          <w:sz w:val="20"/>
          <w:szCs w:val="20"/>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0" w:sz="4" w:space="4"/>
      </w:pBdr>
      <w:tabs>
        <w:tab w:val="center" w:pos="4680"/>
        <w:tab w:val="right" w:pos="9360"/>
      </w:tabs>
      <w:spacing w:before="0"/>
    </w:pPr>
    <w:r>
      <w:rPr>
        <w:rFonts w:ascii="Consolas" w:cs="Consolas" w:eastAsia="Consolas" w:hAnsi="Consolas"/>
        <w:color w:val="5A7A94"/>
        <w:sz w:val="16"/>
        <w:szCs w:val="16"/>
      </w:rPr>
      <w:t xml:space="preserve">CAS-SRS-004 · v4.0</w:t>
    </w:r>
    <w:r>
      <w:rPr>
        <w:rFonts w:ascii="Consolas" w:cs="Consolas" w:eastAsia="Consolas" w:hAnsi="Consolas"/>
        <w:color w:val="5A7A94"/>
        <w:sz w:val="16"/>
        <w:szCs w:val="16"/>
      </w:rPr>
      <w:t xml:space="preserve">	CONFIDENTIAL — PUBLIC</w:t>
    </w:r>
    <w:r>
      <w:rPr>
        <w:rFonts w:ascii="Consolas" w:cs="Consolas" w:eastAsia="Consolas" w:hAnsi="Consolas"/>
        <w:color w:val="5A7A94"/>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0" w:sz="4" w:space="4"/>
      </w:pBdr>
      <w:tabs>
        <w:tab w:val="right" w:pos="9360"/>
      </w:tabs>
      <w:spacing w:after="0"/>
    </w:pPr>
    <w:r>
      <w:rPr>
        <w:rFonts w:ascii="Consolas" w:cs="Consolas" w:eastAsia="Consolas" w:hAnsi="Consolas"/>
        <w:b/>
        <w:bCs/>
        <w:color w:val="0097B2"/>
        <w:spacing w:val="20"/>
        <w:sz w:val="16"/>
        <w:szCs w:val="16"/>
      </w:rPr>
      <w:t xml:space="preserve">CAS PLATFORM</w:t>
    </w:r>
    <w:r>
      <w:rPr>
        <w:rFonts w:ascii="Consolas" w:cs="Consolas" w:eastAsia="Consolas" w:hAnsi="Consolas"/>
        <w:color w:val="5A7A94"/>
        <w:sz w:val="16"/>
        <w:szCs w:val="16"/>
      </w:rPr>
      <w:t xml:space="preserve">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7B2" w:sz="8" w:space="6"/>
      </w:pBdr>
      <w:spacing w:after="140" w:before="360"/>
      <w:outlineLvl w:val="0"/>
    </w:pPr>
    <w:rPr>
      <w:rFonts w:ascii="Arial" w:cs="Arial" w:eastAsia="Arial" w:hAnsi="Arial"/>
      <w:b/>
      <w:bCs/>
      <w:color w:val="0B1F3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3294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97B2"/>
      <w:sz w:val="21"/>
      <w:szCs w:val="21"/>
    </w:rPr>
  </w:style>
  <w:style w:type="paragraph" w:styleId="Normal">
    <w:name w:val="Normal"/>
    <w:pPr>
      <w:spacing w:after="120" w:line="264"/>
    </w:pPr>
    <w:rPr>
      <w:rFonts w:ascii="Arial" w:cs="Arial" w:eastAsia="Arial" w:hAnsi="Arial"/>
      <w:color w:val="1A23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 Platform — Software Requirements Specification v4.0</dc:title>
  <dc:creator>CAS Platform</dc:creator>
  <cp:lastModifiedBy>Un-named</cp:lastModifiedBy>
  <cp:revision>1</cp:revision>
  <dcterms:created xsi:type="dcterms:W3CDTF">2026-06-22T18:42:35.912Z</dcterms:created>
  <dcterms:modified xsi:type="dcterms:W3CDTF">2026-06-22T18:42:35.913Z</dcterms:modified>
</cp:coreProperties>
</file>

<file path=docProps/custom.xml><?xml version="1.0" encoding="utf-8"?>
<Properties xmlns="http://schemas.openxmlformats.org/officeDocument/2006/custom-properties" xmlns:vt="http://schemas.openxmlformats.org/officeDocument/2006/docPropsVTypes"/>
</file>