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 w:line="20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97B2"/>
          <w:spacing w:val="80"/>
          <w:sz w:val="22"/>
          <w:szCs w:val="22"/>
        </w:rPr>
        <w:t xml:space="preserve">CAS PLATFORM</w:t>
      </w:r>
    </w:p>
    <w:p>
      <w:pPr>
        <w:spacing w:after="800" w:before="0"/>
        <w:jc w:val="center"/>
      </w:pPr>
      <w:r>
        <w:rPr>
          <w:rFonts w:ascii="Consolas" w:cs="Consolas" w:eastAsia="Consolas" w:hAnsi="Consolas"/>
          <w:color w:val="5A6E84"/>
          <w:spacing w:val="40"/>
          <w:sz w:val="18"/>
          <w:szCs w:val="18"/>
        </w:rPr>
        <w:t xml:space="preserve">OPERATIONAL EVIDENCE PACKAGE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B1F3A"/>
          <w:sz w:val="64"/>
          <w:szCs w:val="64"/>
        </w:rPr>
        <w:t xml:space="preserve">CAS Platform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152D52"/>
          <w:sz w:val="28"/>
          <w:szCs w:val="28"/>
        </w:rPr>
        <w:t xml:space="preserve">Operational Evidence</w:t>
      </w:r>
    </w:p>
    <w:p>
      <w:pPr>
        <w:pBdr>
          <w:bottom w:val="single" w:color="0097B2" w:sz="12" w:space="1"/>
        </w:pBdr>
        <w:spacing w:after="240" w:before="0"/>
      </w:pPr>
      <w:r>
        <w:t xml:space="preserve"/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2448"/>
        <w:gridCol w:w="2448"/>
        <w:gridCol w:w="2448"/>
      </w:tblGrid>
      <w:tr>
        <w:trPr>
          <w:tblHeader w:val="false"/>
        </w:trPr>
        <w:tc>
          <w:tcPr>
            <w:tcW w:type="dxa" w:w="2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Consolas" w:cs="Consolas" w:eastAsia="Consolas" w:hAnsi="Consolas"/>
                <w:color w:val="5A6E84"/>
                <w:spacing w:val="30"/>
                <w:sz w:val="14"/>
                <w:szCs w:val="14"/>
              </w:rPr>
              <w:t xml:space="preserve">VERSION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v1.1</w:t>
            </w:r>
          </w:p>
        </w:tc>
        <w:tc>
          <w:tcPr>
            <w:tcW w:type="dxa" w:w="2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Consolas" w:cs="Consolas" w:eastAsia="Consolas" w:hAnsi="Consolas"/>
                <w:color w:val="5A6E84"/>
                <w:spacing w:val="30"/>
                <w:sz w:val="14"/>
                <w:szCs w:val="14"/>
              </w:rPr>
              <w:t xml:space="preserve">DATE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April 2026</w:t>
            </w:r>
          </w:p>
        </w:tc>
        <w:tc>
          <w:tcPr>
            <w:tcW w:type="dxa" w:w="2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Consolas" w:cs="Consolas" w:eastAsia="Consolas" w:hAnsi="Consolas"/>
                <w:color w:val="5A6E84"/>
                <w:spacing w:val="30"/>
                <w:sz w:val="14"/>
                <w:szCs w:val="14"/>
              </w:rPr>
              <w:t xml:space="preserve">MATURITY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2"/>
                <w:szCs w:val="22"/>
              </w:rPr>
              <w:t xml:space="preserve">TRL 5</w:t>
            </w:r>
          </w:p>
        </w:tc>
        <w:tc>
          <w:tcPr>
            <w:tcW w:type="dxa" w:w="244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/>
              <w:jc w:val="center"/>
            </w:pPr>
            <w:r>
              <w:rPr>
                <w:rFonts w:ascii="Consolas" w:cs="Consolas" w:eastAsia="Consolas" w:hAnsi="Consolas"/>
                <w:color w:val="5A6E84"/>
                <w:spacing w:val="30"/>
                <w:sz w:val="14"/>
                <w:szCs w:val="14"/>
              </w:rPr>
              <w:t xml:space="preserve">STATUS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22"/>
                <w:szCs w:val="22"/>
              </w:rPr>
              <w:t xml:space="preserve">PUBLIC</w:t>
            </w:r>
          </w:p>
        </w:tc>
      </w:tr>
    </w:tbl>
    <w:p>
      <w:pPr>
        <w:pBdr>
          <w:top w:val="single" w:color="0097B2" w:sz="12" w:space="1"/>
        </w:pBdr>
        <w:spacing w:after="0" w:before="240"/>
      </w:pPr>
      <w:r>
        <w:t xml:space="preserve"/>
      </w:r>
    </w:p>
    <w:p>
      <w:pPr>
        <w:spacing w:after="2400" w:before="0" w:line="200"/>
      </w:pPr>
      <w:r>
        <w:t xml:space="preserve"/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color w:val="5A6E84"/>
          <w:spacing w:val="30"/>
          <w:sz w:val="18"/>
          <w:szCs w:val="18"/>
        </w:rPr>
        <w:t xml:space="preserve">casplatform.com</w:t>
      </w:r>
    </w:p>
    <w:p>
      <w:r>
        <w:br w:type="page"/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Document Information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92"/>
      </w:tblGrid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 Platform — Operational Evidence Package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CAS-OE-001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Version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1.1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Date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April 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Maturity Level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TRL 5 (Component validation in relevant environment)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Engine Version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v0.7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20" w:before="0" w:line="200"/>
      </w:pPr>
      <w:r>
        <w:t xml:space="preserve"/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1. Executive Summary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This document presents operational evidence that CAS (Conjunction Decision Support) operates continuously in a relevant environment. The system processes real conjunction data from operational space-surveillance sources, ingests live re-entry and fragmentation feeds from the European Space Surveillance and Tracking (EU SST) service, monitors space weather conditions affecting LEO operations, and produces decision support output for satellite operators.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Together with the companion Validation Report (analytical Pc cross-checks against the Foster/Chan reference) and the Software Requirements Specification (ECSS-E-ST-40C aligned), this evidence supports the TRL 5 assessment: 'Component validation in relevant environment' as defined by ESA ISO 16290.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1.1 Operational Capabilities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Continuous, hourly ingestion of Conjunction Data Messages from public Space-Track feeds.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Multi-source orbital catalog ingestion with deduplication across providers.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Live integration with EU SST Re-entry and Fragmentation analysis services.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Hourly synchronization with NOAA Space Weather Prediction Center indices.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Automated decision support output: priority, recommendation, confidence, cascade screening.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Operator decision recording for audit trails and downstream analytics.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Configurable email alerts on conjunction events involving watchlisted satellites.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Public REST API for programmatic integration with operator pipelines.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2. System Architecture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is deployed as a single-server monolithic system within the European Union, behind a CDN edge with HTTPS termination. The architecture is intentionally simple to support full audit traceability and minimize operational surface area.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292"/>
      </w:tblGrid>
      <w:tr>
        <w:trPr>
          <w:tblHeader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Computation engine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Python 3.12, custom HTTP server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CDM ingestion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Hourly cron → Space-Track cdm_public API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 SST ingestion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6-hourly cron → EU SST OAuth2 API (FG + RE)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Space weather ingestion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Hourly cron → NOAA SWPC public feeds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TLE catalog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Multi-source: Celestrak + Space-Track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Active, 6h cache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Web frontend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Static HTML/CSS/JS with CesiumJS 3D globe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Nginx with CDN edge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fail2ban, UFW (CDN IP whitelist), JWT, API key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Email transport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Authenticated SMTP with SPF/DKIM signing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3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Single-use verification link with TTL</w:t>
            </w:r>
          </w:p>
        </w:tc>
        <w:tc>
          <w:tcPr>
            <w:tcW w:type="dxa" w:w="3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3. Conjunction Data Ingestion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ingests Conjunction Data Messages from the Space-Track cdm_public endpoint on an hourly schedule. The ingestion pipeline applies UPSERT semantics on the CDM identifier so that updated CDMs replace prior versions in place rather than accumulating duplicates.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3.1 Pipeline Characteristics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92"/>
      </w:tblGrid>
      <w:tr>
        <w:trPr>
          <w:tblHeader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Property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Source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Space-Track cdm_public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Schedule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Hourly cron (0 * * * *)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TCA filter window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Minimum Pc filter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1×10⁻⁴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PostgreSQL with UNIQUE(cdm_id) constraint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Update semantics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UPSERT — on conflict update fields, no row duplication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Composite index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(norad1, norad2, tca) for efficient lookup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Operational continuity</w:t>
            </w:r>
          </w:p>
        </w:tc>
        <w:tc>
          <w:tcPr>
            <w:tcW w:type="dxa" w:w="65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Active hourly ingestion since system commissioning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3.2 Data Integrity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Earlier in the operational lifecycle, an INSERT-only pattern accumulated duplicate rows for the same CDM identifier. The remediation comprised three steps: deduplication of historical rows retaining only the most recent fetch per cdm_id, addition of a UNIQUE database constraint on cdm_id, and migration of the ingestion code to UPSERT (INSERT ... ON CONFLICT DO UPDATE). The corrective action eliminates the possibility of duplicate accumulation in normal operation.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4. Multi-Source Catalog Ingestion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The orbital object catalog is composed from two independent providers, deduplicated on NORAD catalog identifier. This enables a richer working set than either provider alone — particularly for debris and rocket bodies in LEO — while remaining robust against single-source unavailability.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4.1 Celestrak Source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ingests Celestrak group feeds covering active payloads, major debris families (Cosmos 1408 ASAT debris, Fengyun 1C ASAT debris, Iridium 33 / Cosmos 2251 collision debris), rocket bodies, space stations, and selected operational constellations. Group selection prioritizes the LEO regime.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4.2 Space-Track Source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ingests Space-Track catalog data filtered to LEO debris and rocket bodies, applying perigee bound and excluding decayed objects.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4.3 Cache and Resilience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Cache TTL: 6 hours, persisted to disk.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Stale-fallback: on upstream API failure, the engine continues to serve from the most recent cached snapshot.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Deduplication: NORAD-ID unique key with deterministic conflict resolution.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5. EU SST Integration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authenticates with the European Space Surveillance and Tracking (EU SST) service via OAuth2 against the EU SST identity provider, ingesting two derived analysis feeds: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Service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Re-entry Analysis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Predicted atmospheric re-entry events with risk classification, time window, areas of interest, and orbital parameters.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Fragmentation Analysis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Confirmed and suspected on-orbit fragmentation events with parent object, regime, and event epoch.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5.1 Compliance with EU SST Terms of Service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EU SST raw data payloads are not redistributed to end users (per EU SST Terms of Service §5.1). The portal exposes only derived and aggregate analysis. Access tiering is enforced server-side: aggregate views are accessible to all tiers; per-event detail is gated to Starter and above.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5.2 Demonstrated Operational Awareness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The integration has demonstrably tracked live atmospheric re-entry events, including high-profile rocket-body re-entries received via EU SST notifications and confirmed within the CAS database within the same operational window. Featured events are surfaced in the portal with countdown timers indicating time-to-event.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6. Space Weather Monitoring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ingests three primary space weather indices from NOAA SWPC on an hourly schedule, alongside recent NOAA alerts: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Index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Operational Relevance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Geomagnetic Kp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Kp ≥ 5 indicates a geomagnetic storm. Storms inflate atmospheric drag, accelerate orbit decay in LEO, and degrade short-term TLE accuracy.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F10.7 solar flux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Drives upper-atmosphere density. Elevated F10.7 increases drag and affects orbit propagation accuracy.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X-ray peak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Solar flare classification. M-class and X-class events indicate ionospheric disturbances and possible single-event upsets.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52D52"/>
          <w:sz w:val="26"/>
          <w:szCs w:val="26"/>
        </w:rPr>
        <w:t xml:space="preserve">6.1 Operational Integration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Hourly snapshots persisted with 7-day rolling history.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Operator-facing detail pane: current state, history grid, recent NOAA alert ticker.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Overview-card integration: at-a-glance status with interpretive label (Quiet / Elevated / Strong).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Retrospective correlation: snapshots are stored alongside conjunction data so post-event analysis can correlate Pc shifts with geomagnetic activity.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7. Decision Engine — Operational Capabilities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The Decision Engine has been deployed and is operational with the following demonstrated capabilities: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92"/>
      </w:tblGrid>
      <w:tr>
        <w:trPr>
          <w:tblHeader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Capability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Priority assessment (HIGH / MEDIUM / LOW)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Deterministic scoring on Pc, miss distance, and TCA proximity. Unit-test backed.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Recommendation taxonomy (Maneuver / Monitor / No action)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Threshold-driven with deterministic edge-case handling for elapsed TCA. Unit-test backed.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Confidence rating (HIGH / MEDIUM / LOW)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Heuristic combining TCA proximity and Pc magnitude. Documented as a placeholder pending full covariance integration.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Cascade analysis (v2)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Full catalog screening with Pareto-optimal selection across delta-V and direction candidates.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72-hour trend analysis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Linear regression on bucketed historical Pc with forward extrapolation.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Alert funnel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Aggregate visualization of total / review-required / critical event counts.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Operator decision recording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APPROVE MANEUVER and CONTINUE MONITORING actions persisted with timestamp for audit trail.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Email alert dispatch</w:t>
            </w:r>
          </w:p>
        </w:tc>
        <w:tc>
          <w:tcPr>
            <w:tcW w:type="dxa" w:w="62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Configurable threshold; watchlist-scoped; deliverability headers (SPF/DKIM/RFC 8058).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8. Infrastructure and Security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92"/>
      </w:tblGrid>
      <w:tr>
        <w:trPr>
          <w:tblHeader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Measure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Origin firewall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UFW restricts inbound 80/443 to CDN edge IP ranges only. Direct origin access blocked.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SSH protection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fail2ban active with progressive ban duration on failed authentication attempts.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TLS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Edge certificates at the CDN; encrypted origin connection.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JWT (HS256) for sessions; API key for machine integration. Both supported in parallel.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Tier enforcement applied server-side at endpoint dispatch. Admin role gated separately.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bcrypt hashing with per-account salt.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Account verification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Single-use email verification link required to activate features.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Public form anti-abuse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Honeypot field plus IP-based rate limiting (3 submissions per hour per IP).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EU-resident infrastructure. Privacy Policy and Terms of Service published. User deletion supported via Admin Panel.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69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All derived analysis processed within the European Union. No data export.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9. Performance Characteristics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3092"/>
      </w:tblGrid>
      <w:tr>
        <w:trPr>
          <w:tblHeader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Typical Duration</w:t>
            </w:r>
          </w:p>
        </w:tc>
        <w:tc>
          <w:tcPr>
            <w:tcW w:type="dxa" w:w="30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CDM fetch → DB write</w:t>
            </w:r>
          </w:p>
        </w:tc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Sub-30 seconds</w:t>
            </w:r>
          </w:p>
        </w:tc>
        <w:tc>
          <w:tcPr>
            <w:tcW w:type="dxa" w:w="30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Includes Space-Track API round-trip and persistence.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Catalog load (full)</w:t>
            </w:r>
          </w:p>
        </w:tc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10–30 seconds</w:t>
            </w:r>
          </w:p>
        </w:tc>
        <w:tc>
          <w:tcPr>
            <w:tcW w:type="dxa" w:w="30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Multi-group Celestrak + Space-Track. Cached after first load.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Decision scan (per satellite)</w:t>
            </w:r>
          </w:p>
        </w:tc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Sub-second</w:t>
            </w:r>
          </w:p>
        </w:tc>
        <w:tc>
          <w:tcPr>
            <w:tcW w:type="dxa" w:w="30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Conjunction evaluation against active CDMs.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Pc computation (single event)</w:t>
            </w:r>
          </w:p>
        </w:tc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Sub-millisecond</w:t>
            </w:r>
          </w:p>
        </w:tc>
        <w:tc>
          <w:tcPr>
            <w:tcW w:type="dxa" w:w="30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Foster/Chan integral, fixed quadrature.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Cascade analysis</w:t>
            </w:r>
          </w:p>
        </w:tc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~10 seconds</w:t>
            </w:r>
          </w:p>
        </w:tc>
        <w:tc>
          <w:tcPr>
            <w:tcW w:type="dxa" w:w="30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Full catalog screening with parallelized scan.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Engine memory footprint</w:t>
            </w:r>
          </w:p>
        </w:tc>
        <w:tc>
          <w:tcPr>
            <w:tcW w:type="dxa" w:w="32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Modest</w:t>
            </w:r>
          </w:p>
        </w:tc>
        <w:tc>
          <w:tcPr>
            <w:tcW w:type="dxa" w:w="30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Single-process Python deployment.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10. Companion Documents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4492"/>
      </w:tblGrid>
      <w:tr>
        <w:trPr>
          <w:tblHeader/>
        </w:trPr>
        <w:tc>
          <w:tcPr>
            <w:tcW w:type="dxa" w:w="3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Version</w:t>
            </w:r>
          </w:p>
        </w:tc>
        <w:tc>
          <w:tcPr>
            <w:tcW w:type="dxa" w:w="44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0F4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1F3A"/>
                <w:sz w:val="18"/>
                <w:szCs w:val="18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 Software Requirements Specification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v3.0</w:t>
            </w:r>
          </w:p>
        </w:tc>
        <w:tc>
          <w:tcPr>
            <w:tcW w:type="dxa" w:w="44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Functional + non-functional requirements, ECSS-E-ST-40C aligned.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 Operator User Guide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v1.1</w:t>
            </w:r>
          </w:p>
        </w:tc>
        <w:tc>
          <w:tcPr>
            <w:tcW w:type="dxa" w:w="44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Portal reference manual, every feature with operator interpretation.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 Operator Portal User Guide (Visual)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April 2026</w:t>
            </w:r>
          </w:p>
        </w:tc>
        <w:tc>
          <w:tcPr>
            <w:tcW w:type="dxa" w:w="44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Slide-format walkthrough of every portal screen.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CAS Validation Report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v1.0</w:t>
            </w:r>
          </w:p>
        </w:tc>
        <w:tc>
          <w:tcPr>
            <w:tcW w:type="dxa" w:w="44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Foster/Chan analytical cross-check, computational core verification.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REST API Reference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Current</w:t>
            </w:r>
          </w:p>
        </w:tc>
        <w:tc>
          <w:tcPr>
            <w:tcW w:type="dxa" w:w="44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Full endpoint reference with authentication patterns.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Current</w:t>
            </w:r>
          </w:p>
        </w:tc>
        <w:tc>
          <w:tcPr>
            <w:tcW w:type="dxa" w:w="44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Twelve sections, GDPR aligned.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15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Current</w:t>
            </w:r>
          </w:p>
        </w:tc>
        <w:tc>
          <w:tcPr>
            <w:tcW w:type="dxa" w:w="449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18"/>
                <w:szCs w:val="18"/>
              </w:rPr>
              <w:t xml:space="preserve">Twelve sections, GDPR aligned.</w:t>
            </w:r>
          </w:p>
        </w:tc>
      </w:tr>
    </w:tbl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11. Conclusion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CAS operates continuously in a relevant environment. It ingests real conjunction data from public space-surveillance providers, integrates with the EU SST analysis services for re-entry and fragmentation tracking, monitors space weather conditions, and produces decision support output for registered operators. The computational core has been verified against analytical references; the operational environment is real, not simulated; and the system has demonstrated continuous operation across the validation period.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Assessment: CAS meets the criteria for TRL 5 — 'Component validation in relevant environment' — as defined by ESA ISO 16290. The system is positioned for TRL 6 progression contingent on covariance access (Space-Track Organizational Account application in preparation), pilot operator deployments, and ML layer integration scheduled for the post-TRL-5 phase.</w:t>
      </w:r>
    </w:p>
    <w:p>
      <w:pPr>
        <w:pStyle w:val="Heading1"/>
        <w:pBdr>
          <w:bottom w:val="single" w:color="0097B2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B1F3A"/>
          <w:sz w:val="32"/>
          <w:szCs w:val="32"/>
        </w:rPr>
        <w:t xml:space="preserve">12. Contact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Email: mustafa@casplatform.com</w:t>
      </w:r>
    </w:p>
    <w:p>
      <w:pPr>
        <w:pStyle w:val="ListParagraph"/>
        <w:numPr>
          <w:ilvl w:val="0"/>
          <w:numId w:val="2"/>
        </w:numPr>
        <w:spacing w:after="5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32"/>
          <w:sz w:val="20"/>
          <w:szCs w:val="20"/>
        </w:rPr>
        <w:t xml:space="preserve">Web: casplatform.com</w:t>
      </w:r>
    </w:p>
    <w:p>
      <w:pPr>
        <w:spacing w:after="80" w:before="30" w:line="240"/>
      </w:pPr>
      <w:r>
        <w:rPr>
          <w:rFonts w:ascii="Calibri" w:cs="Calibri" w:eastAsia="Calibri" w:hAnsi="Calibri"/>
          <w:i/>
          <w:iCs/>
          <w:color w:val="5A6E84"/>
          <w:sz w:val="16"/>
          <w:szCs w:val="16"/>
        </w:rPr>
        <w:t xml:space="preserve">CAS Platform is an independent European conjunction decision support platform. Data sources include Space-Track, Celestrak, EU SST, and NOAA SWPC. CAS is not affiliated with or endorsed by any data provider. All derived analysis is processed within the European Union.</w:t>
      </w:r>
    </w:p>
    <w:p>
      <w:pPr>
        <w:spacing w:after="120" w:before="0" w:line="20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5A6E84"/>
          <w:sz w:val="18"/>
          <w:szCs w:val="18"/>
        </w:rPr>
        <w:t xml:space="preserve">— End of Operational Evidence Package —</w:t>
      </w:r>
    </w:p>
    <w:sectPr>
      <w:headerReference w:type="default" r:id="rId7"/>
      <w:footerReference w:type="default" r:id="rId8"/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8" w:sz="4" w:space="4"/>
      </w:pBdr>
      <w:tabs>
        <w:tab w:val="right" w:pos="9792"/>
      </w:tabs>
      <w:spacing w:after="0" w:before="60"/>
    </w:pPr>
    <w:r>
      <w:rPr>
        <w:rFonts w:ascii="Consolas" w:cs="Consolas" w:eastAsia="Consolas" w:hAnsi="Consolas"/>
        <w:color w:val="5A6E84"/>
        <w:sz w:val="16"/>
        <w:szCs w:val="16"/>
      </w:rPr>
      <w:t xml:space="preserve">casplatform.com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A6E84"/>
        <w:sz w:val="16"/>
        <w:szCs w:val="16"/>
      </w:rPr>
      <w:t xml:space="preserve">Page </w:t>
    </w:r>
    <w:r>
      <w:rPr>
        <w:rFonts w:ascii="Calibri" w:cs="Calibri" w:eastAsia="Calibri" w:hAnsi="Calibri"/>
        <w:color w:val="5A6E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E84"/>
        <w:sz w:val="16"/>
        <w:szCs w:val="16"/>
      </w:rPr>
      <w:t xml:space="preserve"> of </w:t>
    </w:r>
    <w:r>
      <w:rPr>
        <w:rFonts w:ascii="Calibri" w:cs="Calibri" w:eastAsia="Calibri" w:hAnsi="Calibri"/>
        <w:color w:val="5A6E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8" w:sz="4" w:space="4"/>
      </w:pBdr>
      <w:tabs>
        <w:tab w:val="right" w:pos="9792"/>
      </w:tabs>
      <w:spacing w:after="60" w:before="0"/>
    </w:pPr>
    <w:r>
      <w:rPr>
        <w:rFonts w:ascii="Calibri" w:cs="Calibri" w:eastAsia="Calibri" w:hAnsi="Calibri"/>
        <w:b/>
        <w:bCs/>
        <w:color w:val="0B1F3A"/>
        <w:spacing w:val="30"/>
        <w:sz w:val="16"/>
        <w:szCs w:val="16"/>
      </w:rPr>
      <w:t xml:space="preserve">CAS PLATFORM</w:t>
    </w:r>
    <w:r>
      <w:rPr>
        <w:rFonts w:ascii="Calibri" w:cs="Calibri" w:eastAsia="Calibri" w:hAnsi="Calibri"/>
        <w:color w:val="5A6E84"/>
        <w:sz w:val="16"/>
        <w:szCs w:val="16"/>
      </w:rPr>
      <w:t xml:space="preserve">  ·  </w:t>
    </w:r>
    <w:r>
      <w:rPr>
        <w:rFonts w:ascii="Calibri" w:cs="Calibri" w:eastAsia="Calibri" w:hAnsi="Calibri"/>
        <w:color w:val="5A6E84"/>
        <w:sz w:val="16"/>
        <w:szCs w:val="16"/>
      </w:rPr>
      <w:t xml:space="preserve">CAS Platform — Operational Evidence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52D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1A2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Platform — Operational Evidence v1.1</dc:title>
  <dc:creator>CAS Platform</dc:creator>
  <dc:description>CAS Platform — Operational Evidence v1.1</dc:description>
  <cp:lastModifiedBy>Un-named</cp:lastModifiedBy>
  <cp:revision>1</cp:revision>
  <dcterms:created xsi:type="dcterms:W3CDTF">2026-04-26T05:29:49.094Z</dcterms:created>
  <dcterms:modified xsi:type="dcterms:W3CDTF">2026-04-26T05:29:49.094Z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