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line="200"/>
      </w:pPr>
      <w:r>
        <w:t xml:space="preserve"/>
      </w:r>
    </w:p>
    <w:p>
      <w:pPr>
        <w:spacing w:after="60" w:before="0"/>
        <w:jc w:val="center"/>
      </w:pPr>
      <w:r>
        <w:rPr>
          <w:rFonts w:ascii="Calibri" w:cs="Calibri" w:eastAsia="Calibri" w:hAnsi="Calibri"/>
          <w:b/>
          <w:bCs/>
          <w:color w:val="0097B2"/>
          <w:spacing w:val="80"/>
          <w:sz w:val="22"/>
          <w:szCs w:val="22"/>
        </w:rPr>
        <w:t xml:space="preserve">CAS PLATFORM</w:t>
      </w:r>
    </w:p>
    <w:p>
      <w:pPr>
        <w:spacing w:after="800" w:before="0"/>
        <w:jc w:val="center"/>
      </w:pPr>
      <w:r>
        <w:rPr>
          <w:rFonts w:ascii="Consolas" w:cs="Consolas" w:eastAsia="Consolas" w:hAnsi="Consolas"/>
          <w:color w:val="5A6E84"/>
          <w:spacing w:val="40"/>
          <w:sz w:val="18"/>
          <w:szCs w:val="18"/>
        </w:rPr>
        <w:t xml:space="preserve">OPERATOR USER GUIDE</w:t>
      </w:r>
    </w:p>
    <w:p>
      <w:pPr>
        <w:spacing w:after="120" w:before="0"/>
        <w:jc w:val="center"/>
      </w:pPr>
      <w:r>
        <w:rPr>
          <w:rFonts w:ascii="Calibri" w:cs="Calibri" w:eastAsia="Calibri" w:hAnsi="Calibri"/>
          <w:b/>
          <w:bCs/>
          <w:color w:val="0B1F3A"/>
          <w:sz w:val="64"/>
          <w:szCs w:val="64"/>
        </w:rPr>
        <w:t xml:space="preserve">CAS Platform</w:t>
      </w:r>
    </w:p>
    <w:p>
      <w:pPr>
        <w:spacing w:after="800" w:before="0"/>
        <w:jc w:val="center"/>
      </w:pPr>
      <w:r>
        <w:rPr>
          <w:rFonts w:ascii="Calibri" w:cs="Calibri" w:eastAsia="Calibri" w:hAnsi="Calibri"/>
          <w:color w:val="152D52"/>
          <w:sz w:val="28"/>
          <w:szCs w:val="28"/>
        </w:rPr>
        <w:t xml:space="preserve">Operator User Guide</w:t>
      </w:r>
    </w:p>
    <w:p>
      <w:pPr>
        <w:pBdr>
          <w:bottom w:val="single" w:color="0097B2" w:sz="12" w:space="1"/>
        </w:pBdr>
        <w:spacing w:after="240" w:before="0"/>
      </w:pPr>
      <w:r>
        <w:t xml:space="preserve"/>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48"/>
        <w:gridCol w:w="2448"/>
        <w:gridCol w:w="2448"/>
        <w:gridCol w:w="2448"/>
      </w:tblGrid>
      <w:tr>
        <w:trPr>
          <w:tblHeader w:val="false"/>
        </w:trPr>
        <w:tc>
          <w:tcPr>
            <w:tcW w:type="dxa" w:w="2448"/>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40" w:before="0"/>
              <w:jc w:val="center"/>
            </w:pPr>
            <w:r>
              <w:rPr>
                <w:rFonts w:ascii="Consolas" w:cs="Consolas" w:eastAsia="Consolas" w:hAnsi="Consolas"/>
                <w:color w:val="5A6E84"/>
                <w:spacing w:val="30"/>
                <w:sz w:val="14"/>
                <w:szCs w:val="14"/>
              </w:rPr>
              <w:t xml:space="preserve">VERSION</w:t>
            </w:r>
          </w:p>
          <w:p>
            <w:pPr>
              <w:spacing w:after="0" w:before="0"/>
              <w:jc w:val="center"/>
            </w:pPr>
            <w:r>
              <w:rPr>
                <w:rFonts w:ascii="Calibri" w:cs="Calibri" w:eastAsia="Calibri" w:hAnsi="Calibri"/>
                <w:b/>
                <w:bCs/>
                <w:color w:val="0B1F3A"/>
                <w:sz w:val="22"/>
                <w:szCs w:val="22"/>
              </w:rPr>
              <w:t xml:space="preserve">v1.1</w:t>
            </w:r>
          </w:p>
        </w:tc>
        <w:tc>
          <w:tcPr>
            <w:tcW w:type="dxa" w:w="2448"/>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40" w:before="0"/>
              <w:jc w:val="center"/>
            </w:pPr>
            <w:r>
              <w:rPr>
                <w:rFonts w:ascii="Consolas" w:cs="Consolas" w:eastAsia="Consolas" w:hAnsi="Consolas"/>
                <w:color w:val="5A6E84"/>
                <w:spacing w:val="30"/>
                <w:sz w:val="14"/>
                <w:szCs w:val="14"/>
              </w:rPr>
              <w:t xml:space="preserve">DATE</w:t>
            </w:r>
          </w:p>
          <w:p>
            <w:pPr>
              <w:spacing w:after="0" w:before="0"/>
              <w:jc w:val="center"/>
            </w:pPr>
            <w:r>
              <w:rPr>
                <w:rFonts w:ascii="Calibri" w:cs="Calibri" w:eastAsia="Calibri" w:hAnsi="Calibri"/>
                <w:b/>
                <w:bCs/>
                <w:color w:val="0B1F3A"/>
                <w:sz w:val="22"/>
                <w:szCs w:val="22"/>
              </w:rPr>
              <w:t xml:space="preserve">April 2026</w:t>
            </w:r>
          </w:p>
        </w:tc>
        <w:tc>
          <w:tcPr>
            <w:tcW w:type="dxa" w:w="2448"/>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40" w:before="0"/>
              <w:jc w:val="center"/>
            </w:pPr>
            <w:r>
              <w:rPr>
                <w:rFonts w:ascii="Consolas" w:cs="Consolas" w:eastAsia="Consolas" w:hAnsi="Consolas"/>
                <w:color w:val="5A6E84"/>
                <w:spacing w:val="30"/>
                <w:sz w:val="14"/>
                <w:szCs w:val="14"/>
              </w:rPr>
              <w:t xml:space="preserve">MATURITY</w:t>
            </w:r>
          </w:p>
          <w:p>
            <w:pPr>
              <w:spacing w:after="0" w:before="0"/>
              <w:jc w:val="center"/>
            </w:pPr>
            <w:r>
              <w:rPr>
                <w:rFonts w:ascii="Calibri" w:cs="Calibri" w:eastAsia="Calibri" w:hAnsi="Calibri"/>
                <w:b/>
                <w:bCs/>
                <w:color w:val="0097B2"/>
                <w:sz w:val="22"/>
                <w:szCs w:val="22"/>
              </w:rPr>
              <w:t xml:space="preserve">TRL 5</w:t>
            </w:r>
          </w:p>
        </w:tc>
        <w:tc>
          <w:tcPr>
            <w:tcW w:type="dxa" w:w="2448"/>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40" w:before="0"/>
              <w:jc w:val="center"/>
            </w:pPr>
            <w:r>
              <w:rPr>
                <w:rFonts w:ascii="Consolas" w:cs="Consolas" w:eastAsia="Consolas" w:hAnsi="Consolas"/>
                <w:color w:val="5A6E84"/>
                <w:spacing w:val="30"/>
                <w:sz w:val="14"/>
                <w:szCs w:val="14"/>
              </w:rPr>
              <w:t xml:space="preserve">STATUS</w:t>
            </w:r>
          </w:p>
          <w:p>
            <w:pPr>
              <w:spacing w:after="0" w:before="0"/>
              <w:jc w:val="center"/>
            </w:pPr>
            <w:r>
              <w:rPr>
                <w:rFonts w:ascii="Calibri" w:cs="Calibri" w:eastAsia="Calibri" w:hAnsi="Calibri"/>
                <w:b/>
                <w:bCs/>
                <w:color w:val="0B1F3A"/>
                <w:sz w:val="22"/>
                <w:szCs w:val="22"/>
              </w:rPr>
              <w:t xml:space="preserve">PUBLIC</w:t>
            </w:r>
          </w:p>
        </w:tc>
      </w:tr>
    </w:tbl>
    <w:p>
      <w:pPr>
        <w:pBdr>
          <w:top w:val="single" w:color="0097B2" w:sz="12" w:space="1"/>
        </w:pBdr>
        <w:spacing w:after="0" w:before="240"/>
      </w:pPr>
      <w:r>
        <w:t xml:space="preserve"/>
      </w:r>
    </w:p>
    <w:p>
      <w:pPr>
        <w:spacing w:after="2400" w:before="0" w:line="200"/>
      </w:pPr>
      <w:r>
        <w:t xml:space="preserve"/>
      </w:r>
    </w:p>
    <w:p>
      <w:pPr>
        <w:spacing w:after="0" w:before="0"/>
        <w:jc w:val="center"/>
      </w:pPr>
      <w:r>
        <w:rPr>
          <w:rFonts w:ascii="Consolas" w:cs="Consolas" w:eastAsia="Consolas" w:hAnsi="Consolas"/>
          <w:color w:val="5A6E84"/>
          <w:spacing w:val="30"/>
          <w:sz w:val="18"/>
          <w:szCs w:val="18"/>
        </w:rPr>
        <w:t xml:space="preserve">casplatform.com</w:t>
      </w:r>
    </w:p>
    <w:p>
      <w:r>
        <w:br w:type="page"/>
      </w:r>
    </w:p>
    <w:p>
      <w:pPr>
        <w:pStyle w:val="Heading1"/>
        <w:pBdr>
          <w:bottom w:val="single" w:color="0097B2" w:sz="8" w:space="4"/>
        </w:pBdr>
        <w:spacing w:after="120" w:before="360"/>
      </w:pPr>
      <w:r>
        <w:rPr>
          <w:rFonts w:ascii="Calibri" w:cs="Calibri" w:eastAsia="Calibri" w:hAnsi="Calibri"/>
          <w:b/>
          <w:bCs/>
          <w:color w:val="0B1F3A"/>
          <w:sz w:val="32"/>
          <w:szCs w:val="32"/>
        </w:rPr>
        <w:t xml:space="preserve">1. Introduction</w:t>
      </w:r>
    </w:p>
    <w:p>
      <w:pPr>
        <w:spacing w:after="100" w:before="0" w:line="280"/>
        <w:jc w:val="both"/>
      </w:pPr>
      <w:r>
        <w:rPr>
          <w:rFonts w:ascii="Calibri" w:cs="Calibri" w:eastAsia="Calibri" w:hAnsi="Calibri"/>
          <w:b w:val="false"/>
          <w:bCs w:val="false"/>
          <w:i w:val="false"/>
          <w:iCs w:val="false"/>
          <w:color w:val="1A2332"/>
          <w:sz w:val="20"/>
          <w:szCs w:val="20"/>
        </w:rPr>
        <w:t xml:space="preserve">CAS (Conjunction Decision Support) is a web-based platform designed to help LEO satellite operators manage conjunction events — situations where two objects in orbit pass dangerously close to each other. This user guide covers every feature of the CAS Operator Portal, explaining what each screen shows, what the numbers mean, and what actions you should take.</w:t>
      </w:r>
    </w:p>
    <w:p>
      <w:pPr>
        <w:spacing w:after="100" w:before="0" w:line="280"/>
        <w:jc w:val="both"/>
      </w:pPr>
      <w:r>
        <w:rPr>
          <w:rFonts w:ascii="Calibri" w:cs="Calibri" w:eastAsia="Calibri" w:hAnsi="Calibri"/>
          <w:b w:val="false"/>
          <w:bCs w:val="false"/>
          <w:i w:val="false"/>
          <w:iCs w:val="false"/>
          <w:color w:val="1A2332"/>
          <w:sz w:val="20"/>
          <w:szCs w:val="20"/>
        </w:rPr>
        <w:t xml:space="preserve">It is written for satellite operators, mission analysts, and flight dynamics engineers who need to make maneuver decisions based on conjunction data.</w:t>
      </w:r>
    </w:p>
    <w:p>
      <w:pPr>
        <w:pStyle w:val="Heading2"/>
        <w:spacing w:after="80" w:before="240"/>
      </w:pPr>
      <w:r>
        <w:rPr>
          <w:rFonts w:ascii="Calibri" w:cs="Calibri" w:eastAsia="Calibri" w:hAnsi="Calibri"/>
          <w:b/>
          <w:bCs/>
          <w:color w:val="152D52"/>
          <w:sz w:val="26"/>
          <w:szCs w:val="26"/>
        </w:rPr>
        <w:t xml:space="preserve">1.1 What CAS Does</w:t>
      </w:r>
    </w:p>
    <w:p>
      <w:pPr>
        <w:spacing w:after="100" w:before="0" w:line="280"/>
        <w:jc w:val="both"/>
      </w:pPr>
      <w:r>
        <w:rPr>
          <w:rFonts w:ascii="Calibri" w:cs="Calibri" w:eastAsia="Calibri" w:hAnsi="Calibri"/>
          <w:b w:val="false"/>
          <w:bCs w:val="false"/>
          <w:i w:val="false"/>
          <w:iCs w:val="false"/>
          <w:color w:val="1A2332"/>
          <w:sz w:val="20"/>
          <w:szCs w:val="20"/>
        </w:rPr>
        <w:t xml:space="preserve">CAS ingests Conjunction Data Messages (CDMs) from Space-Track (18th Space Defense Squadron), cross-references them with EU SST (European Space Surveillance and Tracking) re-entry and fragmentation feeds, and produces actionable decision support output. Decision Engine, 72-hour Trend Analysis, Cascade Analysis, and Space Weather context are integrated into a single operator workflow.</w:t>
      </w:r>
    </w:p>
    <w:p>
      <w:pPr>
        <w:spacing w:after="100" w:before="0" w:line="280"/>
        <w:jc w:val="both"/>
      </w:pPr>
      <w:r>
        <w:rPr>
          <w:rFonts w:ascii="Calibri" w:cs="Calibri" w:eastAsia="Calibri" w:hAnsi="Calibri"/>
          <w:b w:val="false"/>
          <w:bCs w:val="false"/>
          <w:i w:val="false"/>
          <w:iCs w:val="false"/>
          <w:color w:val="1A2332"/>
          <w:sz w:val="20"/>
          <w:szCs w:val="20"/>
        </w:rPr>
        <w:t xml:space="preserve">CAS is a decision support layer, not an autonomous system. It does not execute maneuvers. It does not replace SSA (Space Situational Awareness) infrastructure. It helps you decide.</w:t>
      </w:r>
    </w:p>
    <w:p>
      <w:pPr>
        <w:pStyle w:val="Heading2"/>
        <w:spacing w:after="80" w:before="240"/>
      </w:pPr>
      <w:r>
        <w:rPr>
          <w:rFonts w:ascii="Calibri" w:cs="Calibri" w:eastAsia="Calibri" w:hAnsi="Calibri"/>
          <w:b/>
          <w:bCs/>
          <w:color w:val="152D52"/>
          <w:sz w:val="26"/>
          <w:szCs w:val="26"/>
        </w:rPr>
        <w:t xml:space="preserve">1.2 What CAS Is NOT</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CAS does not execute orbital maneuvers on your behalf.</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CAS does not replace Space-Track, EU SST, or any SSA provider.</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CAS does not guarantee absolute collision probability values (see Section 9 on the sigma limitation).</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CAS is not certified for autonomous decision-making. All outputs are advisory.</w:t>
      </w:r>
    </w:p>
    <w:p>
      <w:pPr>
        <w:pStyle w:val="Heading2"/>
        <w:spacing w:after="80" w:before="240"/>
      </w:pPr>
      <w:r>
        <w:rPr>
          <w:rFonts w:ascii="Calibri" w:cs="Calibri" w:eastAsia="Calibri" w:hAnsi="Calibri"/>
          <w:b/>
          <w:bCs/>
          <w:color w:val="152D52"/>
          <w:sz w:val="26"/>
          <w:szCs w:val="26"/>
        </w:rPr>
        <w:t xml:space="preserve">1.3 On the Roadmap</w:t>
      </w:r>
    </w:p>
    <w:p>
      <w:pPr>
        <w:spacing w:after="100" w:before="0" w:line="280"/>
        <w:jc w:val="both"/>
      </w:pPr>
      <w:r>
        <w:rPr>
          <w:rFonts w:ascii="Calibri" w:cs="Calibri" w:eastAsia="Calibri" w:hAnsi="Calibri"/>
          <w:b w:val="false"/>
          <w:bCs w:val="false"/>
          <w:i w:val="false"/>
          <w:iCs w:val="false"/>
          <w:color w:val="1A2332"/>
          <w:sz w:val="20"/>
          <w:szCs w:val="20"/>
        </w:rPr>
        <w:t xml:space="preserve">CAS is extending its decision engine with a drag-aware physics layer to support VLEO (Very Low Earth Orbit) operators. Beta opens Q3 2026. The same portal, authentication, and API surface will host both LEO and VLEO modes; regime selection happens automatically based on satellite altitude.</w:t>
      </w:r>
    </w:p>
    <w:p>
      <w:pPr>
        <w:pStyle w:val="Heading1"/>
        <w:pBdr>
          <w:bottom w:val="single" w:color="0097B2" w:sz="8" w:space="4"/>
        </w:pBdr>
        <w:spacing w:after="120" w:before="360"/>
      </w:pPr>
      <w:r>
        <w:rPr>
          <w:rFonts w:ascii="Calibri" w:cs="Calibri" w:eastAsia="Calibri" w:hAnsi="Calibri"/>
          <w:b/>
          <w:bCs/>
          <w:color w:val="0B1F3A"/>
          <w:sz w:val="32"/>
          <w:szCs w:val="32"/>
        </w:rPr>
        <w:t xml:space="preserve">2. Getting Started</w:t>
      </w:r>
    </w:p>
    <w:p>
      <w:pPr>
        <w:spacing w:after="100" w:before="0" w:line="280"/>
        <w:jc w:val="both"/>
      </w:pPr>
      <w:r>
        <w:rPr>
          <w:rFonts w:ascii="Calibri" w:cs="Calibri" w:eastAsia="Calibri" w:hAnsi="Calibri"/>
          <w:b w:val="false"/>
          <w:bCs w:val="false"/>
          <w:i w:val="false"/>
          <w:iCs w:val="false"/>
          <w:color w:val="1A2332"/>
          <w:sz w:val="20"/>
          <w:szCs w:val="20"/>
        </w:rPr>
        <w:t xml:space="preserve">Navigate to casplatform.com and click 'Operator Login'. New users select 'Create Account', enter email, name and a password, and receive a verification email. Click the verification link to activate your account; portal features are gated until verification completes.</w:t>
      </w:r>
    </w:p>
    <w:p>
      <w:pPr>
        <w:spacing w:after="100" w:before="0" w:line="280"/>
        <w:jc w:val="both"/>
      </w:pPr>
      <w:r>
        <w:rPr>
          <w:rFonts w:ascii="Calibri" w:cs="Calibri" w:eastAsia="Calibri" w:hAnsi="Calibri"/>
          <w:b w:val="false"/>
          <w:bCs w:val="false"/>
          <w:i w:val="false"/>
          <w:iCs w:val="false"/>
          <w:color w:val="1A2332"/>
          <w:sz w:val="20"/>
          <w:szCs w:val="20"/>
        </w:rPr>
        <w:t xml:space="preserve">During the beta period, all accounts start on the Free tier. Tier upgrades are arranged via direct contact.</w:t>
      </w:r>
    </w:p>
    <w:p>
      <w:pPr>
        <w:pStyle w:val="Heading2"/>
        <w:spacing w:after="80" w:before="240"/>
      </w:pPr>
      <w:r>
        <w:rPr>
          <w:rFonts w:ascii="Calibri" w:cs="Calibri" w:eastAsia="Calibri" w:hAnsi="Calibri"/>
          <w:b/>
          <w:bCs/>
          <w:color w:val="152D52"/>
          <w:sz w:val="26"/>
          <w:szCs w:val="26"/>
        </w:rPr>
        <w:t xml:space="preserve">2.1 Account Tiers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900"/>
        <w:gridCol w:w="1600"/>
        <w:gridCol w:w="1492"/>
      </w:tblGrid>
      <w:tr>
        <w:trPr>
          <w:tblHeader/>
        </w:trPr>
        <w:tc>
          <w:tcPr>
            <w:tcW w:type="dxa" w:w="18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Tier</w:t>
            </w:r>
          </w:p>
        </w:tc>
        <w:tc>
          <w:tcPr>
            <w:tcW w:type="dxa" w:w="15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Satellites</w:t>
            </w:r>
          </w:p>
        </w:tc>
        <w:tc>
          <w:tcPr>
            <w:tcW w:type="dxa" w:w="15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Data</w:t>
            </w:r>
          </w:p>
        </w:tc>
        <w:tc>
          <w:tcPr>
            <w:tcW w:type="dxa" w:w="19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Decision Engine</w:t>
            </w:r>
          </w:p>
        </w:tc>
        <w:tc>
          <w:tcPr>
            <w:tcW w:type="dxa" w:w="16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EU SST</w:t>
            </w:r>
          </w:p>
        </w:tc>
        <w:tc>
          <w:tcPr>
            <w:tcW w:type="dxa" w:w="1492"/>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Price</w:t>
            </w:r>
          </w:p>
        </w:tc>
      </w:tr>
      <w:tr>
        <w:trPr>
          <w:tblHeader w:val="false"/>
        </w:trPr>
        <w:tc>
          <w:tcPr>
            <w:tcW w:type="dxa" w:w="18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Free</w:t>
            </w:r>
          </w:p>
        </w:tc>
        <w:tc>
          <w:tcPr>
            <w:tcW w:type="dxa" w:w="1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1</w:t>
            </w:r>
          </w:p>
        </w:tc>
        <w:tc>
          <w:tcPr>
            <w:tcW w:type="dxa" w:w="1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Delayed</w:t>
            </w:r>
          </w:p>
        </w:tc>
        <w:tc>
          <w:tcPr>
            <w:tcW w:type="dxa" w:w="19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Basic</w:t>
            </w:r>
          </w:p>
        </w:tc>
        <w:tc>
          <w:tcPr>
            <w:tcW w:type="dxa" w:w="16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Aggregate only</w:t>
            </w:r>
          </w:p>
        </w:tc>
        <w:tc>
          <w:tcPr>
            <w:tcW w:type="dxa" w:w="14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$0</w:t>
            </w:r>
          </w:p>
        </w:tc>
      </w:tr>
      <w:tr>
        <w:trPr>
          <w:tblHeader w:val="false"/>
        </w:trPr>
        <w:tc>
          <w:tcPr>
            <w:tcW w:type="dxa" w:w="18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Starter</w:t>
            </w:r>
          </w:p>
        </w:tc>
        <w:tc>
          <w:tcPr>
            <w:tcW w:type="dxa" w:w="1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3</w:t>
            </w:r>
          </w:p>
        </w:tc>
        <w:tc>
          <w:tcPr>
            <w:tcW w:type="dxa" w:w="1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Real-time</w:t>
            </w:r>
          </w:p>
        </w:tc>
        <w:tc>
          <w:tcPr>
            <w:tcW w:type="dxa" w:w="19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Basic + Cascade</w:t>
            </w:r>
          </w:p>
        </w:tc>
        <w:tc>
          <w:tcPr>
            <w:tcW w:type="dxa" w:w="16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Full access</w:t>
            </w:r>
          </w:p>
        </w:tc>
        <w:tc>
          <w:tcPr>
            <w:tcW w:type="dxa" w:w="14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$499/mo</w:t>
            </w:r>
          </w:p>
        </w:tc>
      </w:tr>
      <w:tr>
        <w:trPr>
          <w:tblHeader w:val="false"/>
        </w:trPr>
        <w:tc>
          <w:tcPr>
            <w:tcW w:type="dxa" w:w="18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Pro</w:t>
            </w:r>
          </w:p>
        </w:tc>
        <w:tc>
          <w:tcPr>
            <w:tcW w:type="dxa" w:w="1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10–15</w:t>
            </w:r>
          </w:p>
        </w:tc>
        <w:tc>
          <w:tcPr>
            <w:tcW w:type="dxa" w:w="1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Real-time</w:t>
            </w:r>
          </w:p>
        </w:tc>
        <w:tc>
          <w:tcPr>
            <w:tcW w:type="dxa" w:w="19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Full + API</w:t>
            </w:r>
          </w:p>
        </w:tc>
        <w:tc>
          <w:tcPr>
            <w:tcW w:type="dxa" w:w="16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Full + API</w:t>
            </w:r>
          </w:p>
        </w:tc>
        <w:tc>
          <w:tcPr>
            <w:tcW w:type="dxa" w:w="14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$999/mo</w:t>
            </w:r>
          </w:p>
        </w:tc>
      </w:tr>
      <w:tr>
        <w:trPr>
          <w:tblHeader w:val="false"/>
        </w:trPr>
        <w:tc>
          <w:tcPr>
            <w:tcW w:type="dxa" w:w="18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Enterprise</w:t>
            </w:r>
          </w:p>
        </w:tc>
        <w:tc>
          <w:tcPr>
            <w:tcW w:type="dxa" w:w="1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Unlimited</w:t>
            </w:r>
          </w:p>
        </w:tc>
        <w:tc>
          <w:tcPr>
            <w:tcW w:type="dxa" w:w="1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Real-time + SLA</w:t>
            </w:r>
          </w:p>
        </w:tc>
        <w:tc>
          <w:tcPr>
            <w:tcW w:type="dxa" w:w="19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Full + Priority</w:t>
            </w:r>
          </w:p>
        </w:tc>
        <w:tc>
          <w:tcPr>
            <w:tcW w:type="dxa" w:w="16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Full + Custom</w:t>
            </w:r>
          </w:p>
        </w:tc>
        <w:tc>
          <w:tcPr>
            <w:tcW w:type="dxa" w:w="14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Custom</w:t>
            </w:r>
          </w:p>
        </w:tc>
      </w:tr>
    </w:tbl>
    <w:p>
      <w:pPr>
        <w:spacing w:after="80" w:before="30" w:line="240"/>
      </w:pPr>
      <w:r>
        <w:rPr>
          <w:rFonts w:ascii="Calibri" w:cs="Calibri" w:eastAsia="Calibri" w:hAnsi="Calibri"/>
          <w:i/>
          <w:iCs/>
          <w:color w:val="5A6E84"/>
          <w:sz w:val="16"/>
          <w:szCs w:val="16"/>
        </w:rPr>
        <w:t xml:space="preserve">During beta, all features are accessible. Tier enforcement will be activated at general availability.</w:t>
      </w:r>
    </w:p>
    <w:p>
      <w:pPr>
        <w:pStyle w:val="Heading1"/>
        <w:pBdr>
          <w:bottom w:val="single" w:color="0097B2" w:sz="8" w:space="4"/>
        </w:pBdr>
        <w:spacing w:after="120" w:before="360"/>
      </w:pPr>
      <w:r>
        <w:rPr>
          <w:rFonts w:ascii="Calibri" w:cs="Calibri" w:eastAsia="Calibri" w:hAnsi="Calibri"/>
          <w:b/>
          <w:bCs/>
          <w:color w:val="0B1F3A"/>
          <w:sz w:val="32"/>
          <w:szCs w:val="32"/>
        </w:rPr>
        <w:t xml:space="preserve">3. Overview Screen</w:t>
      </w:r>
    </w:p>
    <w:p>
      <w:pPr>
        <w:spacing w:after="100" w:before="0" w:line="280"/>
        <w:jc w:val="both"/>
      </w:pPr>
      <w:r>
        <w:rPr>
          <w:rFonts w:ascii="Calibri" w:cs="Calibri" w:eastAsia="Calibri" w:hAnsi="Calibri"/>
          <w:b w:val="false"/>
          <w:bCs w:val="false"/>
          <w:i w:val="false"/>
          <w:iCs w:val="false"/>
          <w:color w:val="1A2332"/>
          <w:sz w:val="20"/>
          <w:szCs w:val="20"/>
        </w:rPr>
        <w:t xml:space="preserve">The Overview is your starting point. Five summary cards present at-a-glance status: engine status, watchlist size, active RED alerts, your tier, and current space weather conditions. A highlighted priority event surfaces what needs human attention right now.</w:t>
      </w:r>
    </w:p>
    <w:p>
      <w:pPr>
        <w:pStyle w:val="Heading2"/>
        <w:spacing w:after="80" w:before="240"/>
      </w:pPr>
      <w:r>
        <w:rPr>
          <w:rFonts w:ascii="Calibri" w:cs="Calibri" w:eastAsia="Calibri" w:hAnsi="Calibri"/>
          <w:b/>
          <w:bCs/>
          <w:color w:val="152D52"/>
          <w:sz w:val="26"/>
          <w:szCs w:val="26"/>
        </w:rPr>
        <w:t xml:space="preserve">3.1 Highest Priority Event Card</w:t>
      </w:r>
    </w:p>
    <w:p>
      <w:pPr>
        <w:spacing w:after="100" w:before="0" w:line="280"/>
        <w:jc w:val="both"/>
      </w:pPr>
      <w:r>
        <w:rPr>
          <w:rFonts w:ascii="Calibri" w:cs="Calibri" w:eastAsia="Calibri" w:hAnsi="Calibri"/>
          <w:b w:val="false"/>
          <w:bCs w:val="false"/>
          <w:i w:val="false"/>
          <w:iCs w:val="false"/>
          <w:color w:val="1A2332"/>
          <w:sz w:val="20"/>
          <w:szCs w:val="20"/>
        </w:rPr>
        <w:t xml:space="preserve">If the Decision Engine has identified a non-trivial conjunction for any of your watchlist satellites, the highest-priority event is displayed prominently with satellite name and NORAD ID, CAS recommendation (Maneuver advised / Monitor / No action), priority, confidence, and key metrics (Pc, miss distance, time to TCA, alert funnel).</w:t>
      </w:r>
    </w:p>
    <w:p>
      <w:pPr>
        <w:pStyle w:val="Heading2"/>
        <w:spacing w:after="80" w:before="240"/>
      </w:pPr>
      <w:r>
        <w:rPr>
          <w:rFonts w:ascii="Calibri" w:cs="Calibri" w:eastAsia="Calibri" w:hAnsi="Calibri"/>
          <w:b/>
          <w:bCs/>
          <w:color w:val="152D52"/>
          <w:sz w:val="26"/>
          <w:szCs w:val="26"/>
        </w:rPr>
        <w:t xml:space="preserve">3.2 Recent Conjunctions</w:t>
      </w:r>
    </w:p>
    <w:p>
      <w:pPr>
        <w:spacing w:after="100" w:before="0" w:line="280"/>
        <w:jc w:val="both"/>
      </w:pPr>
      <w:r>
        <w:rPr>
          <w:rFonts w:ascii="Calibri" w:cs="Calibri" w:eastAsia="Calibri" w:hAnsi="Calibri"/>
          <w:b w:val="false"/>
          <w:bCs w:val="false"/>
          <w:i w:val="false"/>
          <w:iCs w:val="false"/>
          <w:color w:val="1A2332"/>
          <w:sz w:val="20"/>
          <w:szCs w:val="20"/>
        </w:rPr>
        <w:t xml:space="preserve">A table showing the most recent conjunction events from the Space-Track CDM feed, sorted by TCA with the nearest event first. Each row carries risk band, both objects, miss distance, Pc, and TCA.</w:t>
      </w:r>
    </w:p>
    <w:p>
      <w:pPr>
        <w:pStyle w:val="Heading1"/>
        <w:pBdr>
          <w:bottom w:val="single" w:color="0097B2" w:sz="8" w:space="4"/>
        </w:pBdr>
        <w:spacing w:after="120" w:before="360"/>
      </w:pPr>
      <w:r>
        <w:rPr>
          <w:rFonts w:ascii="Calibri" w:cs="Calibri" w:eastAsia="Calibri" w:hAnsi="Calibri"/>
          <w:b/>
          <w:bCs/>
          <w:color w:val="0B1F3A"/>
          <w:sz w:val="32"/>
          <w:szCs w:val="32"/>
        </w:rPr>
        <w:t xml:space="preserve">4. My Satellites — Watchlist</w:t>
      </w:r>
    </w:p>
    <w:p>
      <w:pPr>
        <w:spacing w:after="100" w:before="0" w:line="280"/>
        <w:jc w:val="both"/>
      </w:pPr>
      <w:r>
        <w:rPr>
          <w:rFonts w:ascii="Calibri" w:cs="Calibri" w:eastAsia="Calibri" w:hAnsi="Calibri"/>
          <w:b w:val="false"/>
          <w:bCs w:val="false"/>
          <w:i w:val="false"/>
          <w:iCs w:val="false"/>
          <w:color w:val="1A2332"/>
          <w:sz w:val="20"/>
          <w:szCs w:val="20"/>
        </w:rPr>
        <w:t xml:space="preserve">The watchlist is your operational fleet. Adding a satellite tells CAS to monitor all conjunction events involving that object, run the Decision Engine for it, and send email alerts when risk levels change.</w:t>
      </w:r>
    </w:p>
    <w:p>
      <w:pPr>
        <w:pStyle w:val="Heading2"/>
        <w:spacing w:after="80" w:before="240"/>
      </w:pPr>
      <w:r>
        <w:rPr>
          <w:rFonts w:ascii="Calibri" w:cs="Calibri" w:eastAsia="Calibri" w:hAnsi="Calibri"/>
          <w:b/>
          <w:bCs/>
          <w:color w:val="152D52"/>
          <w:sz w:val="26"/>
          <w:szCs w:val="26"/>
        </w:rPr>
        <w:t xml:space="preserve">4.1 Adding a Satellite</w:t>
      </w:r>
    </w:p>
    <w:p>
      <w:pPr>
        <w:spacing w:after="100" w:before="0" w:line="280"/>
        <w:jc w:val="both"/>
      </w:pPr>
      <w:r>
        <w:rPr>
          <w:rFonts w:ascii="Calibri" w:cs="Calibri" w:eastAsia="Calibri" w:hAnsi="Calibri"/>
          <w:b w:val="false"/>
          <w:bCs w:val="false"/>
          <w:i w:val="false"/>
          <w:iCs w:val="false"/>
          <w:color w:val="1A2332"/>
          <w:sz w:val="20"/>
          <w:szCs w:val="20"/>
        </w:rPr>
        <w:t xml:space="preserve">Enter the satellite's NORAD catalog identifier (for example, 25544 for the International Space Station). CAS auto-populates the name from Celestrak and computes the average orbital altitude from the latest TLE.</w:t>
      </w:r>
    </w:p>
    <w:p>
      <w:pPr>
        <w:pStyle w:val="Heading2"/>
        <w:spacing w:after="80" w:before="240"/>
      </w:pPr>
      <w:r>
        <w:rPr>
          <w:rFonts w:ascii="Calibri" w:cs="Calibri" w:eastAsia="Calibri" w:hAnsi="Calibri"/>
          <w:b/>
          <w:bCs/>
          <w:color w:val="152D52"/>
          <w:sz w:val="26"/>
          <w:szCs w:val="26"/>
        </w:rPr>
        <w:t xml:space="preserve">4.2 Satellite Card Fields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gridCol w:w="1792"/>
      </w:tblGrid>
      <w:tr>
        <w:trPr>
          <w:tblHeader/>
        </w:trPr>
        <w:tc>
          <w:tcPr>
            <w:tcW w:type="dxa" w:w="22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Field</w:t>
            </w:r>
          </w:p>
        </w:tc>
        <w:tc>
          <w:tcPr>
            <w:tcW w:type="dxa" w:w="58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Description</w:t>
            </w:r>
          </w:p>
        </w:tc>
        <w:tc>
          <w:tcPr>
            <w:tcW w:type="dxa" w:w="1792"/>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Source</w:t>
            </w:r>
          </w:p>
        </w:tc>
      </w:tr>
      <w:tr>
        <w:trPr>
          <w:tblHeader w:val="false"/>
        </w:trPr>
        <w:tc>
          <w:tcPr>
            <w:tcW w:type="dxa" w:w="22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Name</w:t>
            </w:r>
          </w:p>
        </w:tc>
        <w:tc>
          <w:tcPr>
            <w:tcW w:type="dxa" w:w="58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Satellite common name</w:t>
            </w:r>
          </w:p>
        </w:tc>
        <w:tc>
          <w:tcPr>
            <w:tcW w:type="dxa" w:w="17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Celestrak</w:t>
            </w:r>
          </w:p>
        </w:tc>
      </w:tr>
      <w:tr>
        <w:trPr>
          <w:tblHeader w:val="false"/>
        </w:trPr>
        <w:tc>
          <w:tcPr>
            <w:tcW w:type="dxa" w:w="22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NORAD ID</w:t>
            </w:r>
          </w:p>
        </w:tc>
        <w:tc>
          <w:tcPr>
            <w:tcW w:type="dxa" w:w="58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Five-digit catalog number assigned by 18th SDS</w:t>
            </w:r>
          </w:p>
        </w:tc>
        <w:tc>
          <w:tcPr>
            <w:tcW w:type="dxa" w:w="1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Space-Track / Celestrak</w:t>
            </w:r>
          </w:p>
        </w:tc>
      </w:tr>
      <w:tr>
        <w:trPr>
          <w:tblHeader w:val="false"/>
        </w:trPr>
        <w:tc>
          <w:tcPr>
            <w:tcW w:type="dxa" w:w="22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Altitude (km)</w:t>
            </w:r>
          </w:p>
        </w:tc>
        <w:tc>
          <w:tcPr>
            <w:tcW w:type="dxa" w:w="58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Average orbital altitude derived from TLE mean motion</w:t>
            </w:r>
          </w:p>
        </w:tc>
        <w:tc>
          <w:tcPr>
            <w:tcW w:type="dxa" w:w="17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Computed from TLE</w:t>
            </w:r>
          </w:p>
        </w:tc>
      </w:tr>
      <w:tr>
        <w:trPr>
          <w:tblHeader w:val="false"/>
        </w:trPr>
        <w:tc>
          <w:tcPr>
            <w:tcW w:type="dxa" w:w="22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Last Scan</w:t>
            </w:r>
          </w:p>
        </w:tc>
        <w:tc>
          <w:tcPr>
            <w:tcW w:type="dxa" w:w="58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Timestamp of the most recent conjunction scan for this satellite</w:t>
            </w:r>
          </w:p>
        </w:tc>
        <w:tc>
          <w:tcPr>
            <w:tcW w:type="dxa" w:w="1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CAS engine</w:t>
            </w:r>
          </w:p>
        </w:tc>
      </w:tr>
      <w:tr>
        <w:trPr>
          <w:tblHeader w:val="false"/>
        </w:trPr>
        <w:tc>
          <w:tcPr>
            <w:tcW w:type="dxa" w:w="22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Status</w:t>
            </w:r>
          </w:p>
        </w:tc>
        <w:tc>
          <w:tcPr>
            <w:tcW w:type="dxa" w:w="58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Active conjunction count and highest risk level</w:t>
            </w:r>
          </w:p>
        </w:tc>
        <w:tc>
          <w:tcPr>
            <w:tcW w:type="dxa" w:w="17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Decision Engine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blHeader w:val="false"/>
        </w:trPr>
        <w:tc>
          <w:tcPr>
            <w:tcW w:type="dxa" w:w="9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60"/>
            </w:pPr>
            <w:r>
              <w:rPr>
                <w:rFonts w:ascii="Consolas" w:cs="Consolas" w:eastAsia="Consolas" w:hAnsi="Consolas"/>
                <w:b/>
                <w:bCs/>
                <w:color w:val="0097B2"/>
                <w:spacing w:val="30"/>
                <w:sz w:val="16"/>
                <w:szCs w:val="16"/>
              </w:rPr>
              <w:t xml:space="preserve">ALTITUDE COMPUTATION </w:t>
            </w:r>
            <w:r>
              <w:rPr>
                <w:rFonts w:ascii="Calibri" w:cs="Calibri" w:eastAsia="Calibri" w:hAnsi="Calibri"/>
                <w:color w:val="1A2332"/>
                <w:sz w:val="18"/>
                <w:szCs w:val="18"/>
              </w:rPr>
              <w:t xml:space="preserve">Altitude is computed as (perigee + apogee) / 2, where perigee = a(1−e) − R_Earth and apogee = a(1+e) − R_Earth. Semi-major axis 'a' is derived from TLE mean motion: a = (μ/n²)^(1/3), with μ = 398600.4418 km³/s² and n in radians per second.</w:t>
            </w:r>
          </w:p>
        </w:tc>
      </w:tr>
    </w:tbl>
    <w:p>
      <w:pPr>
        <w:pStyle w:val="Heading1"/>
        <w:pBdr>
          <w:bottom w:val="single" w:color="0097B2" w:sz="8" w:space="4"/>
        </w:pBdr>
        <w:spacing w:after="120" w:before="360"/>
      </w:pPr>
      <w:r>
        <w:rPr>
          <w:rFonts w:ascii="Calibri" w:cs="Calibri" w:eastAsia="Calibri" w:hAnsi="Calibri"/>
          <w:b/>
          <w:bCs/>
          <w:color w:val="0B1F3A"/>
          <w:sz w:val="32"/>
          <w:szCs w:val="32"/>
        </w:rPr>
        <w:t xml:space="preserve">5. Decisions — The Decision Engine</w:t>
      </w:r>
    </w:p>
    <w:p>
      <w:pPr>
        <w:spacing w:after="100" w:before="0" w:line="280"/>
        <w:jc w:val="both"/>
      </w:pPr>
      <w:r>
        <w:rPr>
          <w:rFonts w:ascii="Calibri" w:cs="Calibri" w:eastAsia="Calibri" w:hAnsi="Calibri"/>
          <w:b w:val="false"/>
          <w:bCs w:val="false"/>
          <w:i w:val="false"/>
          <w:iCs w:val="false"/>
          <w:color w:val="1A2332"/>
          <w:sz w:val="20"/>
          <w:szCs w:val="20"/>
        </w:rPr>
        <w:t xml:space="preserve">This is the core of CAS. The Decision Engine evaluates all active conjunctions for your watchlist satellites and produces three coordinated outputs per satellite: recommendation, priority, and confidence.</w:t>
      </w:r>
    </w:p>
    <w:p>
      <w:pPr>
        <w:pStyle w:val="Heading2"/>
        <w:spacing w:after="80" w:before="240"/>
      </w:pPr>
      <w:r>
        <w:rPr>
          <w:rFonts w:ascii="Calibri" w:cs="Calibri" w:eastAsia="Calibri" w:hAnsi="Calibri"/>
          <w:b/>
          <w:bCs/>
          <w:color w:val="152D52"/>
          <w:sz w:val="26"/>
          <w:szCs w:val="26"/>
        </w:rPr>
        <w:t xml:space="preserve">5.1 Recommendation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92"/>
      </w:tblGrid>
      <w:tr>
        <w:trPr>
          <w:tblHeader/>
        </w:trPr>
        <w:tc>
          <w:tcPr>
            <w:tcW w:type="dxa" w:w="24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Recommendation</w:t>
            </w:r>
          </w:p>
        </w:tc>
        <w:tc>
          <w:tcPr>
            <w:tcW w:type="dxa" w:w="36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Meaning</w:t>
            </w:r>
          </w:p>
        </w:tc>
        <w:tc>
          <w:tcPr>
            <w:tcW w:type="dxa" w:w="3792"/>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Trigger Criteria</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Maneuver advised</w:t>
            </w:r>
          </w:p>
        </w:tc>
        <w:tc>
          <w:tcPr>
            <w:tcW w:type="dxa" w:w="36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Immediate action recommended. Plan a collision avoidance maneuver.</w:t>
            </w:r>
          </w:p>
        </w:tc>
        <w:tc>
          <w:tcPr>
            <w:tcW w:type="dxa" w:w="37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Risk = RED, or Pc ≥ 1×10⁻⁴, or miss &lt; 200 m (and TCA not yet passed).</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Monitor</w:t>
            </w:r>
          </w:p>
        </w:tc>
        <w:tc>
          <w:tcPr>
            <w:tcW w:type="dxa" w:w="36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Elevated risk. Watch for CDM updates. Re-evaluate before decision window closes.</w:t>
            </w:r>
          </w:p>
        </w:tc>
        <w:tc>
          <w:tcPr>
            <w:tcW w:type="dxa" w:w="3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Risk = YELLOW, or Pc ≥ 1×10⁻⁵, or miss &lt; 1000 m.</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No action</w:t>
            </w:r>
          </w:p>
        </w:tc>
        <w:tc>
          <w:tcPr>
            <w:tcW w:type="dxa" w:w="36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Risk is acceptably low. No maneuver needed at this time.</w:t>
            </w:r>
          </w:p>
        </w:tc>
        <w:tc>
          <w:tcPr>
            <w:tcW w:type="dxa" w:w="37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All criteria below thresholds.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blHeader w:val="false"/>
        </w:trPr>
        <w:tc>
          <w:tcPr>
            <w:tcW w:type="dxa" w:w="9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60"/>
            </w:pPr>
            <w:r>
              <w:rPr>
                <w:rFonts w:ascii="Consolas" w:cs="Consolas" w:eastAsia="Consolas" w:hAnsi="Consolas"/>
                <w:b/>
                <w:bCs/>
                <w:color w:val="B86E00"/>
                <w:spacing w:val="30"/>
                <w:sz w:val="16"/>
                <w:szCs w:val="16"/>
              </w:rPr>
              <w:t xml:space="preserve">AUTOMATIC DOWNGRADE </w:t>
            </w:r>
            <w:r>
              <w:rPr>
                <w:rFonts w:ascii="Calibri" w:cs="Calibri" w:eastAsia="Calibri" w:hAnsi="Calibri"/>
                <w:color w:val="1A2332"/>
                <w:sz w:val="18"/>
                <w:szCs w:val="18"/>
              </w:rPr>
              <w:t xml:space="preserve">If TCA has already passed (time_remaining ≤ 0), 'Maneuver advised' is automatically downgraded to 'Monitor' — you cannot maneuver for an event that has already occurred.</w:t>
            </w:r>
          </w:p>
        </w:tc>
      </w:tr>
    </w:tbl>
    <w:p>
      <w:pPr>
        <w:pStyle w:val="Heading2"/>
        <w:spacing w:after="80" w:before="240"/>
      </w:pPr>
      <w:r>
        <w:rPr>
          <w:rFonts w:ascii="Calibri" w:cs="Calibri" w:eastAsia="Calibri" w:hAnsi="Calibri"/>
          <w:b/>
          <w:bCs/>
          <w:color w:val="152D52"/>
          <w:sz w:val="26"/>
          <w:szCs w:val="26"/>
        </w:rPr>
        <w:t xml:space="preserve">5.2 Priority</w:t>
      </w:r>
    </w:p>
    <w:p>
      <w:pPr>
        <w:spacing w:after="100" w:before="0" w:line="280"/>
        <w:jc w:val="both"/>
      </w:pPr>
      <w:r>
        <w:rPr>
          <w:rFonts w:ascii="Calibri" w:cs="Calibri" w:eastAsia="Calibri" w:hAnsi="Calibri"/>
          <w:b w:val="false"/>
          <w:bCs w:val="false"/>
          <w:i w:val="false"/>
          <w:iCs w:val="false"/>
          <w:color w:val="1A2332"/>
          <w:sz w:val="20"/>
          <w:szCs w:val="20"/>
        </w:rPr>
        <w:t xml:space="preserve">Priority is a weighted score (0–100) combining three factors: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900"/>
        <w:gridCol w:w="1900"/>
        <w:gridCol w:w="2092"/>
      </w:tblGrid>
      <w:tr>
        <w:trPr>
          <w:tblHeader/>
        </w:trPr>
        <w:tc>
          <w:tcPr>
            <w:tcW w:type="dxa" w:w="24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Factor</w:t>
            </w:r>
          </w:p>
        </w:tc>
        <w:tc>
          <w:tcPr>
            <w:tcW w:type="dxa" w:w="15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Weight</w:t>
            </w:r>
          </w:p>
        </w:tc>
        <w:tc>
          <w:tcPr>
            <w:tcW w:type="dxa" w:w="19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HIGH</w:t>
            </w:r>
          </w:p>
        </w:tc>
        <w:tc>
          <w:tcPr>
            <w:tcW w:type="dxa" w:w="19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MEDIUM</w:t>
            </w:r>
          </w:p>
        </w:tc>
        <w:tc>
          <w:tcPr>
            <w:tcW w:type="dxa" w:w="2092"/>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LOW</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Collision Probability</w:t>
            </w:r>
          </w:p>
        </w:tc>
        <w:tc>
          <w:tcPr>
            <w:tcW w:type="dxa" w:w="1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0–40 pts</w:t>
            </w:r>
          </w:p>
        </w:tc>
        <w:tc>
          <w:tcPr>
            <w:tcW w:type="dxa" w:w="19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Pc ≥ 1×10⁻⁴ → 40 pts</w:t>
            </w:r>
          </w:p>
        </w:tc>
        <w:tc>
          <w:tcPr>
            <w:tcW w:type="dxa" w:w="19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Pc ≥ 1×10⁻⁵ → 25 pts</w:t>
            </w:r>
          </w:p>
        </w:tc>
        <w:tc>
          <w:tcPr>
            <w:tcW w:type="dxa" w:w="20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Pc ≥ 1×10⁻⁷ → 10 pts</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Miss Distance</w:t>
            </w:r>
          </w:p>
        </w:tc>
        <w:tc>
          <w:tcPr>
            <w:tcW w:type="dxa" w:w="1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0–30 pts</w:t>
            </w:r>
          </w:p>
        </w:tc>
        <w:tc>
          <w:tcPr>
            <w:tcW w:type="dxa" w:w="19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&lt; 200 m → 30 pts</w:t>
            </w:r>
          </w:p>
        </w:tc>
        <w:tc>
          <w:tcPr>
            <w:tcW w:type="dxa" w:w="19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&lt; 1000 m → 15 pts</w:t>
            </w:r>
          </w:p>
        </w:tc>
        <w:tc>
          <w:tcPr>
            <w:tcW w:type="dxa" w:w="20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&lt; 5000 m → 5 pts</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Time to TCA</w:t>
            </w:r>
          </w:p>
        </w:tc>
        <w:tc>
          <w:tcPr>
            <w:tcW w:type="dxa" w:w="1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0–30 pts</w:t>
            </w:r>
          </w:p>
        </w:tc>
        <w:tc>
          <w:tcPr>
            <w:tcW w:type="dxa" w:w="19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&lt; 24 h → 30 pts</w:t>
            </w:r>
          </w:p>
        </w:tc>
        <w:tc>
          <w:tcPr>
            <w:tcW w:type="dxa" w:w="19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&lt; 48 h → 15 pts</w:t>
            </w:r>
          </w:p>
        </w:tc>
        <w:tc>
          <w:tcPr>
            <w:tcW w:type="dxa" w:w="20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&lt; 72 h → 5 pts</w:t>
            </w:r>
          </w:p>
        </w:tc>
      </w:tr>
    </w:tbl>
    <w:p>
      <w:pPr>
        <w:spacing w:after="100" w:before="0" w:line="280"/>
        <w:jc w:val="both"/>
      </w:pPr>
      <w:r>
        <w:rPr>
          <w:rFonts w:ascii="Calibri" w:cs="Calibri" w:eastAsia="Calibri" w:hAnsi="Calibri"/>
          <w:b w:val="false"/>
          <w:bCs w:val="false"/>
          <w:i w:val="false"/>
          <w:iCs w:val="false"/>
          <w:color w:val="1A2332"/>
          <w:sz w:val="20"/>
          <w:szCs w:val="20"/>
        </w:rPr>
        <w:t xml:space="preserve">Final priority: Score ≥ 60 → HIGH, Score ≥ 30 → MEDIUM, otherwise LOW.</w:t>
      </w:r>
    </w:p>
    <w:p>
      <w:pPr>
        <w:pStyle w:val="Heading2"/>
        <w:spacing w:after="80" w:before="240"/>
      </w:pPr>
      <w:r>
        <w:rPr>
          <w:rFonts w:ascii="Calibri" w:cs="Calibri" w:eastAsia="Calibri" w:hAnsi="Calibri"/>
          <w:b/>
          <w:bCs/>
          <w:color w:val="152D52"/>
          <w:sz w:val="26"/>
          <w:szCs w:val="26"/>
        </w:rPr>
        <w:t xml:space="preserve">5.3 Confidence</w:t>
      </w:r>
    </w:p>
    <w:p>
      <w:pPr>
        <w:spacing w:after="100" w:before="0" w:line="280"/>
        <w:jc w:val="both"/>
      </w:pPr>
      <w:r>
        <w:rPr>
          <w:rFonts w:ascii="Calibri" w:cs="Calibri" w:eastAsia="Calibri" w:hAnsi="Calibri"/>
          <w:b w:val="false"/>
          <w:bCs w:val="false"/>
          <w:i w:val="false"/>
          <w:iCs w:val="false"/>
          <w:color w:val="1A2332"/>
          <w:sz w:val="20"/>
          <w:szCs w:val="20"/>
        </w:rPr>
        <w:t xml:space="preserve">Confidence reflects how reliable the recommendation is, given the available orbit-determination quality. Closer-to-TCA conjunctions have better orbit data and therefore higher confidence; far-from-TCA conjunctions are less certain.</w:t>
      </w:r>
    </w:p>
    <w:p>
      <w:pPr>
        <w:pStyle w:val="Heading2"/>
        <w:spacing w:after="80" w:before="240"/>
      </w:pPr>
      <w:r>
        <w:rPr>
          <w:rFonts w:ascii="Calibri" w:cs="Calibri" w:eastAsia="Calibri" w:hAnsi="Calibri"/>
          <w:b/>
          <w:bCs/>
          <w:color w:val="152D52"/>
          <w:sz w:val="26"/>
          <w:szCs w:val="26"/>
        </w:rPr>
        <w:t xml:space="preserve">5.4 Operator Decision Buttons</w:t>
      </w:r>
    </w:p>
    <w:p>
      <w:pPr>
        <w:spacing w:after="100" w:before="0" w:line="280"/>
        <w:jc w:val="both"/>
      </w:pPr>
      <w:r>
        <w:rPr>
          <w:rFonts w:ascii="Calibri" w:cs="Calibri" w:eastAsia="Calibri" w:hAnsi="Calibri"/>
          <w:b w:val="false"/>
          <w:bCs w:val="false"/>
          <w:i w:val="false"/>
          <w:iCs w:val="false"/>
          <w:color w:val="1A2332"/>
          <w:sz w:val="20"/>
          <w:szCs w:val="20"/>
        </w:rPr>
        <w:t xml:space="preserve">For every conjunction where CAS recommends 'Maneuver advised' or 'Monitor', the decision card displays two action buttons: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APPROVE MANEUVER — record that you have decided to execute a collision avoidance maneuver. This does not trigger any physical action; it records your operational decision.</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CONTINUE MONITORING — record that you have reviewed the situation and decided to wait for updated CDM data before acting.</w:t>
      </w:r>
    </w:p>
    <w:p>
      <w:pPr>
        <w:spacing w:after="100" w:before="0" w:line="280"/>
        <w:jc w:val="both"/>
      </w:pPr>
      <w:r>
        <w:rPr>
          <w:rFonts w:ascii="Calibri" w:cs="Calibri" w:eastAsia="Calibri" w:hAnsi="Calibri"/>
          <w:b w:val="false"/>
          <w:bCs w:val="false"/>
          <w:i w:val="false"/>
          <w:iCs w:val="false"/>
          <w:color w:val="1A2332"/>
          <w:sz w:val="20"/>
          <w:szCs w:val="20"/>
        </w:rPr>
        <w:t xml:space="preserve">Your decision is timestamped and stored. Once recorded, the buttons are replaced with a confirmation badge showing your decision and the timestamp.</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blHeader w:val="false"/>
        </w:trPr>
        <w:tc>
          <w:tcPr>
            <w:tcW w:type="dxa" w:w="9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60"/>
            </w:pPr>
            <w:r>
              <w:rPr>
                <w:rFonts w:ascii="Consolas" w:cs="Consolas" w:eastAsia="Consolas" w:hAnsi="Consolas"/>
                <w:b/>
                <w:bCs/>
                <w:color w:val="0097B2"/>
                <w:spacing w:val="30"/>
                <w:sz w:val="16"/>
                <w:szCs w:val="16"/>
              </w:rPr>
              <w:t xml:space="preserve">AUDIT TRAIL </w:t>
            </w:r>
            <w:r>
              <w:rPr>
                <w:rFonts w:ascii="Calibri" w:cs="Calibri" w:eastAsia="Calibri" w:hAnsi="Calibri"/>
                <w:color w:val="1A2332"/>
                <w:sz w:val="18"/>
                <w:szCs w:val="18"/>
              </w:rPr>
              <w:t xml:space="preserve">Operator decisions are stored with user ID, conjunction reference, action, timestamp, and optional notes. This data supports operational audit trails and future decision analytics.</w:t>
            </w:r>
          </w:p>
        </w:tc>
      </w:tr>
    </w:tbl>
    <w:p>
      <w:pPr>
        <w:pStyle w:val="Heading1"/>
        <w:pBdr>
          <w:bottom w:val="single" w:color="0097B2" w:sz="8" w:space="4"/>
        </w:pBdr>
        <w:spacing w:after="120" w:before="360"/>
      </w:pPr>
      <w:r>
        <w:rPr>
          <w:rFonts w:ascii="Calibri" w:cs="Calibri" w:eastAsia="Calibri" w:hAnsi="Calibri"/>
          <w:b/>
          <w:bCs/>
          <w:color w:val="0B1F3A"/>
          <w:sz w:val="32"/>
          <w:szCs w:val="32"/>
        </w:rPr>
        <w:t xml:space="preserve">6. 72-Hour Trend Analysis</w:t>
      </w:r>
    </w:p>
    <w:p>
      <w:pPr>
        <w:spacing w:after="100" w:before="0" w:line="280"/>
        <w:jc w:val="both"/>
      </w:pPr>
      <w:r>
        <w:rPr>
          <w:rFonts w:ascii="Calibri" w:cs="Calibri" w:eastAsia="Calibri" w:hAnsi="Calibri"/>
          <w:b w:val="false"/>
          <w:bCs w:val="false"/>
          <w:i w:val="false"/>
          <w:iCs w:val="false"/>
          <w:color w:val="1A2332"/>
          <w:sz w:val="20"/>
          <w:szCs w:val="20"/>
        </w:rPr>
        <w:t xml:space="preserve">The Trends tab shows how collision probability has evolved over the past 72 hours for each watchlist satellite, with a forward extrapolation to indicate whether risk is escalating, stable, or de-escalating.</w:t>
      </w:r>
    </w:p>
    <w:p>
      <w:pPr>
        <w:pStyle w:val="Heading2"/>
        <w:spacing w:after="80" w:before="240"/>
      </w:pPr>
      <w:r>
        <w:rPr>
          <w:rFonts w:ascii="Calibri" w:cs="Calibri" w:eastAsia="Calibri" w:hAnsi="Calibri"/>
          <w:b/>
          <w:bCs/>
          <w:color w:val="152D52"/>
          <w:sz w:val="26"/>
          <w:szCs w:val="26"/>
        </w:rPr>
        <w:t xml:space="preserve">6.1 Reading the Trend</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Pc Trend Line: rising trend = increasing risk; falling trend = conjunction resolving.</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Miss Distance Trend: how predicted miss distance changes as TCA approaches; estimates generally improve closer to TCA.</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Trend Slope: rate of change in Pc per hour; positive = deteriorating, negative = improving.</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Insufficient Data: flagged when fewer than three observations exist for the satellite — interpret with caution.</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blHeader w:val="false"/>
        </w:trPr>
        <w:tc>
          <w:tcPr>
            <w:tcW w:type="dxa" w:w="9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60"/>
            </w:pPr>
            <w:r>
              <w:rPr>
                <w:rFonts w:ascii="Consolas" w:cs="Consolas" w:eastAsia="Consolas" w:hAnsi="Consolas"/>
                <w:b/>
                <w:bCs/>
                <w:color w:val="B86E00"/>
                <w:spacing w:val="30"/>
                <w:sz w:val="16"/>
                <w:szCs w:val="16"/>
              </w:rPr>
              <w:t xml:space="preserve">FORECAST CAVEAT </w:t>
            </w:r>
            <w:r>
              <w:rPr>
                <w:rFonts w:ascii="Calibri" w:cs="Calibri" w:eastAsia="Calibri" w:hAnsi="Calibri"/>
                <w:color w:val="1A2332"/>
                <w:sz w:val="18"/>
                <w:szCs w:val="18"/>
              </w:rPr>
              <w:t xml:space="preserve">Forecast values are linear extrapolations from current slope, capped to [0, 1]. They are indicative only and should not be the sole basis for maneuver decisions.</w:t>
            </w:r>
          </w:p>
        </w:tc>
      </w:tr>
    </w:tbl>
    <w:p>
      <w:pPr>
        <w:pStyle w:val="Heading1"/>
        <w:pBdr>
          <w:bottom w:val="single" w:color="0097B2" w:sz="8" w:space="4"/>
        </w:pBdr>
        <w:spacing w:after="120" w:before="360"/>
      </w:pPr>
      <w:r>
        <w:rPr>
          <w:rFonts w:ascii="Calibri" w:cs="Calibri" w:eastAsia="Calibri" w:hAnsi="Calibri"/>
          <w:b/>
          <w:bCs/>
          <w:color w:val="0B1F3A"/>
          <w:sz w:val="32"/>
          <w:szCs w:val="32"/>
        </w:rPr>
        <w:t xml:space="preserve">7. Conjunctions Feed</w:t>
      </w:r>
    </w:p>
    <w:p>
      <w:pPr>
        <w:spacing w:after="100" w:before="0" w:line="280"/>
        <w:jc w:val="both"/>
      </w:pPr>
      <w:r>
        <w:rPr>
          <w:rFonts w:ascii="Calibri" w:cs="Calibri" w:eastAsia="Calibri" w:hAnsi="Calibri"/>
          <w:b w:val="false"/>
          <w:bCs w:val="false"/>
          <w:i w:val="false"/>
          <w:iCs w:val="false"/>
          <w:color w:val="1A2332"/>
          <w:sz w:val="20"/>
          <w:szCs w:val="20"/>
        </w:rPr>
        <w:t xml:space="preserve">The Conjunctions tab shows all active conjunction events from the Space-Track CDM public feed, regardless of whether they involve your watchlist satellites. Data is refreshed hourly via an automated background scanner. CSV export is available for offline analysis or sharing with mission planners.</w:t>
      </w:r>
    </w:p>
    <w:p>
      <w:pPr>
        <w:pStyle w:val="Heading2"/>
        <w:spacing w:after="80" w:before="240"/>
      </w:pPr>
      <w:r>
        <w:rPr>
          <w:rFonts w:ascii="Calibri" w:cs="Calibri" w:eastAsia="Calibri" w:hAnsi="Calibri"/>
          <w:b/>
          <w:bCs/>
          <w:color w:val="152D52"/>
          <w:sz w:val="26"/>
          <w:szCs w:val="26"/>
        </w:rPr>
        <w:t xml:space="preserve">7.1 CDM Field Reference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5500"/>
        <w:gridCol w:w="1892"/>
      </w:tblGrid>
      <w:tr>
        <w:trPr>
          <w:tblHeader/>
        </w:trPr>
        <w:tc>
          <w:tcPr>
            <w:tcW w:type="dxa" w:w="24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Field</w:t>
            </w:r>
          </w:p>
        </w:tc>
        <w:tc>
          <w:tcPr>
            <w:tcW w:type="dxa" w:w="55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Description</w:t>
            </w:r>
          </w:p>
        </w:tc>
        <w:tc>
          <w:tcPr>
            <w:tcW w:type="dxa" w:w="1892"/>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Format</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CDM ID</w:t>
            </w:r>
          </w:p>
        </w:tc>
        <w:tc>
          <w:tcPr>
            <w:tcW w:type="dxa" w:w="5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Unique identifier assigned by Space-Track</w:t>
            </w:r>
          </w:p>
        </w:tc>
        <w:tc>
          <w:tcPr>
            <w:tcW w:type="dxa" w:w="18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Alphanumeric</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Object 1 / Object 2</w:t>
            </w:r>
          </w:p>
        </w:tc>
        <w:tc>
          <w:tcPr>
            <w:tcW w:type="dxa" w:w="5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Catalog names of the two objects involved</w:t>
            </w:r>
          </w:p>
        </w:tc>
        <w:tc>
          <w:tcPr>
            <w:tcW w:type="dxa" w:w="18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Text</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NORAD 1 / NORAD 2</w:t>
            </w:r>
          </w:p>
        </w:tc>
        <w:tc>
          <w:tcPr>
            <w:tcW w:type="dxa" w:w="5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Five-digit catalog numbers</w:t>
            </w:r>
          </w:p>
        </w:tc>
        <w:tc>
          <w:tcPr>
            <w:tcW w:type="dxa" w:w="18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Integer</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TCA</w:t>
            </w:r>
          </w:p>
        </w:tc>
        <w:tc>
          <w:tcPr>
            <w:tcW w:type="dxa" w:w="5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Time of Closest Approach</w:t>
            </w:r>
          </w:p>
        </w:tc>
        <w:tc>
          <w:tcPr>
            <w:tcW w:type="dxa" w:w="18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UTC datetime</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Miss Distance</w:t>
            </w:r>
          </w:p>
        </w:tc>
        <w:tc>
          <w:tcPr>
            <w:tcW w:type="dxa" w:w="5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Predicted minimum separation at TCA</w:t>
            </w:r>
          </w:p>
        </w:tc>
        <w:tc>
          <w:tcPr>
            <w:tcW w:type="dxa" w:w="18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Meters</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Pc</w:t>
            </w:r>
          </w:p>
        </w:tc>
        <w:tc>
          <w:tcPr>
            <w:tcW w:type="dxa" w:w="5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Collision probability (see Section 9)</w:t>
            </w:r>
          </w:p>
        </w:tc>
        <w:tc>
          <w:tcPr>
            <w:tcW w:type="dxa" w:w="18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Decimal / scientific</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Risk</w:t>
            </w:r>
          </w:p>
        </w:tc>
        <w:tc>
          <w:tcPr>
            <w:tcW w:type="dxa" w:w="5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CAS classification: RED / YELLOW / GREEN</w:t>
            </w:r>
          </w:p>
        </w:tc>
        <w:tc>
          <w:tcPr>
            <w:tcW w:type="dxa" w:w="18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Color-coded</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Relative Velocity</w:t>
            </w:r>
          </w:p>
        </w:tc>
        <w:tc>
          <w:tcPr>
            <w:tcW w:type="dxa" w:w="5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Speed difference between objects at TCA</w:t>
            </w:r>
          </w:p>
        </w:tc>
        <w:tc>
          <w:tcPr>
            <w:tcW w:type="dxa" w:w="18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m/s</w:t>
            </w:r>
          </w:p>
        </w:tc>
      </w:tr>
    </w:tbl>
    <w:p>
      <w:pPr>
        <w:pStyle w:val="Heading1"/>
        <w:pBdr>
          <w:bottom w:val="single" w:color="0097B2" w:sz="8" w:space="4"/>
        </w:pBdr>
        <w:spacing w:after="120" w:before="360"/>
      </w:pPr>
      <w:r>
        <w:rPr>
          <w:rFonts w:ascii="Calibri" w:cs="Calibri" w:eastAsia="Calibri" w:hAnsi="Calibri"/>
          <w:b/>
          <w:bCs/>
          <w:color w:val="0B1F3A"/>
          <w:sz w:val="32"/>
          <w:szCs w:val="32"/>
        </w:rPr>
        <w:t xml:space="preserve">8. Risk Classification System</w:t>
      </w:r>
    </w:p>
    <w:p>
      <w:pPr>
        <w:spacing w:after="100" w:before="0" w:line="280"/>
        <w:jc w:val="both"/>
      </w:pPr>
      <w:r>
        <w:rPr>
          <w:rFonts w:ascii="Calibri" w:cs="Calibri" w:eastAsia="Calibri" w:hAnsi="Calibri"/>
          <w:b w:val="false"/>
          <w:bCs w:val="false"/>
          <w:i w:val="false"/>
          <w:iCs w:val="false"/>
          <w:color w:val="1A2332"/>
          <w:sz w:val="20"/>
          <w:szCs w:val="20"/>
        </w:rPr>
        <w:t xml:space="preserve">CAS classifies every conjunction into three risk levels based on two independent criteria. Either criterion alone is sufficient to escalate the risk level: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200"/>
        <w:gridCol w:w="2192"/>
      </w:tblGrid>
      <w:tr>
        <w:trPr>
          <w:tblHeader/>
        </w:trPr>
        <w:tc>
          <w:tcPr>
            <w:tcW w:type="dxa" w:w="14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Level</w:t>
            </w:r>
          </w:p>
        </w:tc>
        <w:tc>
          <w:tcPr>
            <w:tcW w:type="dxa" w:w="18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Color</w:t>
            </w:r>
          </w:p>
        </w:tc>
        <w:tc>
          <w:tcPr>
            <w:tcW w:type="dxa" w:w="22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Pc Threshold</w:t>
            </w:r>
          </w:p>
        </w:tc>
        <w:tc>
          <w:tcPr>
            <w:tcW w:type="dxa" w:w="22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Miss Distance</w:t>
            </w:r>
          </w:p>
        </w:tc>
        <w:tc>
          <w:tcPr>
            <w:tcW w:type="dxa" w:w="2192"/>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Operational Meaning</w:t>
            </w:r>
          </w:p>
        </w:tc>
      </w:tr>
      <w:tr>
        <w:trPr>
          <w:tblHeader w:val="false"/>
        </w:trPr>
        <w:tc>
          <w:tcPr>
            <w:tcW w:type="dxa" w:w="1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RED</w:t>
            </w:r>
          </w:p>
        </w:tc>
        <w:tc>
          <w:tcPr>
            <w:tcW w:type="dxa" w:w="18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Red</w:t>
            </w:r>
          </w:p>
        </w:tc>
        <w:tc>
          <w:tcPr>
            <w:tcW w:type="dxa" w:w="22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Pc &gt; 1×10⁻⁴</w:t>
            </w:r>
          </w:p>
        </w:tc>
        <w:tc>
          <w:tcPr>
            <w:tcW w:type="dxa" w:w="22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Miss &lt; 200 m</w:t>
            </w:r>
          </w:p>
        </w:tc>
        <w:tc>
          <w:tcPr>
            <w:tcW w:type="dxa" w:w="21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High risk. Maneuver planning recommended.</w:t>
            </w:r>
          </w:p>
        </w:tc>
      </w:tr>
      <w:tr>
        <w:trPr>
          <w:tblHeader w:val="false"/>
        </w:trPr>
        <w:tc>
          <w:tcPr>
            <w:tcW w:type="dxa" w:w="1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YELLOW</w:t>
            </w:r>
          </w:p>
        </w:tc>
        <w:tc>
          <w:tcPr>
            <w:tcW w:type="dxa" w:w="18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Orange/Amber</w:t>
            </w:r>
          </w:p>
        </w:tc>
        <w:tc>
          <w:tcPr>
            <w:tcW w:type="dxa" w:w="22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Pc &gt; 1×10⁻⁵</w:t>
            </w:r>
          </w:p>
        </w:tc>
        <w:tc>
          <w:tcPr>
            <w:tcW w:type="dxa" w:w="22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Miss &lt; 1000 m</w:t>
            </w:r>
          </w:p>
        </w:tc>
        <w:tc>
          <w:tcPr>
            <w:tcW w:type="dxa" w:w="21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Elevated risk. Active monitoring required.</w:t>
            </w:r>
          </w:p>
        </w:tc>
      </w:tr>
      <w:tr>
        <w:trPr>
          <w:tblHeader w:val="false"/>
        </w:trPr>
        <w:tc>
          <w:tcPr>
            <w:tcW w:type="dxa" w:w="1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GREEN</w:t>
            </w:r>
          </w:p>
        </w:tc>
        <w:tc>
          <w:tcPr>
            <w:tcW w:type="dxa" w:w="18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Green</w:t>
            </w:r>
          </w:p>
        </w:tc>
        <w:tc>
          <w:tcPr>
            <w:tcW w:type="dxa" w:w="22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Below thresholds</w:t>
            </w:r>
          </w:p>
        </w:tc>
        <w:tc>
          <w:tcPr>
            <w:tcW w:type="dxa" w:w="22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 1000 m</w:t>
            </w:r>
          </w:p>
        </w:tc>
        <w:tc>
          <w:tcPr>
            <w:tcW w:type="dxa" w:w="21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Low risk. No action needed at this time.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blHeader w:val="false"/>
        </w:trPr>
        <w:tc>
          <w:tcPr>
            <w:tcW w:type="dxa" w:w="9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60"/>
            </w:pPr>
            <w:r>
              <w:rPr>
                <w:rFonts w:ascii="Consolas" w:cs="Consolas" w:eastAsia="Consolas" w:hAnsi="Consolas"/>
                <w:b/>
                <w:bCs/>
                <w:color w:val="0097B2"/>
                <w:spacing w:val="30"/>
                <w:sz w:val="16"/>
                <w:szCs w:val="16"/>
              </w:rPr>
              <w:t xml:space="preserve">THRESHOLD ALIGNMENT </w:t>
            </w:r>
            <w:r>
              <w:rPr>
                <w:rFonts w:ascii="Calibri" w:cs="Calibri" w:eastAsia="Calibri" w:hAnsi="Calibri"/>
                <w:color w:val="1A2332"/>
                <w:sz w:val="18"/>
                <w:szCs w:val="18"/>
              </w:rPr>
              <w:t xml:space="preserve">The Pc threshold for RED (1×10⁻⁴) is aligned with the widely used screening threshold recommended by NASA CARA (Conjunction Assessment Risk Analysis) and adopted by ESA for operational conjunction assessment.</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blHeader w:val="false"/>
        </w:trPr>
        <w:tc>
          <w:tcPr>
            <w:tcW w:type="dxa" w:w="9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60"/>
            </w:pPr>
            <w:r>
              <w:rPr>
                <w:rFonts w:ascii="Consolas" w:cs="Consolas" w:eastAsia="Consolas" w:hAnsi="Consolas"/>
                <w:b/>
                <w:bCs/>
                <w:color w:val="0097B2"/>
                <w:spacing w:val="30"/>
                <w:sz w:val="16"/>
                <w:szCs w:val="16"/>
              </w:rPr>
              <w:t xml:space="preserve">BOUNDARY BEHAVIOR </w:t>
            </w:r>
            <w:r>
              <w:rPr>
                <w:rFonts w:ascii="Calibri" w:cs="Calibri" w:eastAsia="Calibri" w:hAnsi="Calibri"/>
                <w:color w:val="1A2332"/>
                <w:sz w:val="18"/>
                <w:szCs w:val="18"/>
              </w:rPr>
              <w:t xml:space="preserve">The comparison uses strict greater-than ( &gt; ), not greater-or-equal ( ≥ ). Pc = 1×10⁻⁴ exactly falls to YELLOW, not RED. This is a deliberate conservative design choice.</w:t>
            </w:r>
          </w:p>
        </w:tc>
      </w:tr>
    </w:tbl>
    <w:p>
      <w:pPr>
        <w:pStyle w:val="Heading1"/>
        <w:pBdr>
          <w:bottom w:val="single" w:color="0097B2" w:sz="8" w:space="4"/>
        </w:pBdr>
        <w:spacing w:after="120" w:before="360"/>
      </w:pPr>
      <w:r>
        <w:rPr>
          <w:rFonts w:ascii="Calibri" w:cs="Calibri" w:eastAsia="Calibri" w:hAnsi="Calibri"/>
          <w:b/>
          <w:bCs/>
          <w:color w:val="0B1F3A"/>
          <w:sz w:val="32"/>
          <w:szCs w:val="32"/>
        </w:rPr>
        <w:t xml:space="preserve">9. Collision Probability Computation</w:t>
      </w:r>
    </w:p>
    <w:p>
      <w:pPr>
        <w:spacing w:after="100" w:before="0" w:line="280"/>
        <w:jc w:val="both"/>
      </w:pPr>
      <w:r>
        <w:rPr>
          <w:rFonts w:ascii="Calibri" w:cs="Calibri" w:eastAsia="Calibri" w:hAnsi="Calibri"/>
          <w:b w:val="false"/>
          <w:bCs w:val="false"/>
          <w:i w:val="false"/>
          <w:iCs w:val="false"/>
          <w:color w:val="1A2332"/>
          <w:sz w:val="20"/>
          <w:szCs w:val="20"/>
        </w:rPr>
        <w:t xml:space="preserve">CAS computes collision probability using the Foster-Chan method (1992), which reduces the two-dimensional Gaussian collision integral to a single-variable integral involving the modified Bessel function I₀:</w:t>
      </w:r>
    </w:p>
    <w:p>
      <w:pPr>
        <w:spacing w:after="100" w:before="0" w:line="280"/>
        <w:jc w:val="both"/>
      </w:pPr>
      <w:r>
        <w:rPr>
          <w:rFonts w:ascii="Calibri" w:cs="Calibri" w:eastAsia="Calibri" w:hAnsi="Calibri"/>
          <w:b w:val="false"/>
          <w:bCs w:val="false"/>
          <w:i w:val="false"/>
          <w:iCs w:val="false"/>
          <w:color w:val="1A2332"/>
          <w:sz w:val="20"/>
          <w:szCs w:val="20"/>
        </w:rPr>
        <w:t xml:space="preserve">Pc = ∫₀ˢ exp(−(x² + u²)/2) · I₀(u·x) · x dx</w:t>
      </w:r>
    </w:p>
    <w:p>
      <w:pPr>
        <w:spacing w:after="100" w:before="0" w:line="280"/>
        <w:jc w:val="both"/>
      </w:pPr>
      <w:r>
        <w:rPr>
          <w:rFonts w:ascii="Calibri" w:cs="Calibri" w:eastAsia="Calibri" w:hAnsi="Calibri"/>
          <w:b w:val="false"/>
          <w:bCs w:val="false"/>
          <w:i w:val="false"/>
          <w:iCs w:val="false"/>
          <w:color w:val="1A2332"/>
          <w:sz w:val="20"/>
          <w:szCs w:val="20"/>
        </w:rPr>
        <w:t xml:space="preserve">Where:</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u = miss_distance / σ (normalized miss distance)</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s = HBR / σ (normalized hard-body radius)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σ (sigma) = combined position uncertainty of both objects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HBR = Hard Body Radius — combined physical size of both objects (default: 10 m)</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I₀ = Modified Bessel function of the first kind, order zero</w:t>
      </w:r>
    </w:p>
    <w:p>
      <w:pPr>
        <w:spacing w:after="100" w:before="0" w:line="280"/>
        <w:jc w:val="both"/>
      </w:pPr>
      <w:r>
        <w:rPr>
          <w:rFonts w:ascii="Calibri" w:cs="Calibri" w:eastAsia="Calibri" w:hAnsi="Calibri"/>
          <w:b w:val="false"/>
          <w:bCs w:val="false"/>
          <w:i w:val="false"/>
          <w:iCs w:val="false"/>
          <w:color w:val="1A2332"/>
          <w:sz w:val="20"/>
          <w:szCs w:val="20"/>
        </w:rPr>
        <w:t xml:space="preserve">The integral is evaluated numerically using rectangle-rule quadrature with N = 200 subdivisions. The implementation has been validated against the analytical closed-form solution for the head-on case (miss = 0) with convergence within 10⁻³ tolerance.</w:t>
      </w:r>
    </w:p>
    <w:p>
      <w:pPr>
        <w:pStyle w:val="Heading2"/>
        <w:spacing w:after="80" w:before="240"/>
      </w:pPr>
      <w:r>
        <w:rPr>
          <w:rFonts w:ascii="Calibri" w:cs="Calibri" w:eastAsia="Calibri" w:hAnsi="Calibri"/>
          <w:b/>
          <w:bCs/>
          <w:color w:val="152D52"/>
          <w:sz w:val="26"/>
          <w:szCs w:val="26"/>
        </w:rPr>
        <w:t xml:space="preserve">9.1 The Sigma Limitation — IMPORTANT</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blHeader w:val="false"/>
        </w:trPr>
        <w:tc>
          <w:tcPr>
            <w:tcW w:type="dxa" w:w="9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60"/>
            </w:pPr>
            <w:r>
              <w:rPr>
                <w:rFonts w:ascii="Consolas" w:cs="Consolas" w:eastAsia="Consolas" w:hAnsi="Consolas"/>
                <w:b/>
                <w:bCs/>
                <w:color w:val="C72A38"/>
                <w:spacing w:val="30"/>
                <w:sz w:val="16"/>
                <w:szCs w:val="16"/>
              </w:rPr>
              <w:t xml:space="preserve">CRITICAL OPERATIONAL NOTE </w:t>
            </w:r>
            <w:r>
              <w:rPr>
                <w:rFonts w:ascii="Calibri" w:cs="Calibri" w:eastAsia="Calibri" w:hAnsi="Calibri"/>
                <w:color w:val="1A2332"/>
                <w:sz w:val="18"/>
                <w:szCs w:val="18"/>
              </w:rPr>
              <w:t xml:space="preserve">CAS uses a fixed effective sigma (σ) of 100 m for all Pc computations. This is because Space-Track's public CDM class returns only 16 fields and does not include the full covariance matrix (CR_R, CT_T, CN_N are absent).</w:t>
            </w:r>
          </w:p>
        </w:tc>
      </w:tr>
    </w:tbl>
    <w:p>
      <w:pPr>
        <w:spacing w:after="100" w:before="0" w:line="280"/>
        <w:jc w:val="both"/>
      </w:pPr>
      <w:r>
        <w:rPr>
          <w:rFonts w:ascii="Calibri" w:cs="Calibri" w:eastAsia="Calibri" w:hAnsi="Calibri"/>
          <w:b w:val="false"/>
          <w:bCs w:val="false"/>
          <w:i w:val="false"/>
          <w:iCs w:val="false"/>
          <w:color w:val="1A2332"/>
          <w:sz w:val="20"/>
          <w:szCs w:val="20"/>
        </w:rPr>
        <w:t xml:space="preserve">What this means for you as an operator:</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CAS Pc values should be interpreted as RELATIVE RISK RANKINGS, not absolute collision probabilities.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A conjunction with Pc = 2.3×10⁻³ is significantly more dangerous than one with Pc = 4.5×10⁻⁶, and this relative comparison is valid.</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The absolute numerical value of Pc depends on the true covariance of both objects, which CAS does not have access to at this data tier.</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If you have access to owner/operator CDMs with full covariance data (for example from your flight dynamics team), those Pc values will be more accurate than CAS's estimates.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blHeader w:val="false"/>
        </w:trPr>
        <w:tc>
          <w:tcPr>
            <w:tcW w:type="dxa" w:w="9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60"/>
            </w:pPr>
            <w:r>
              <w:rPr>
                <w:rFonts w:ascii="Consolas" w:cs="Consolas" w:eastAsia="Consolas" w:hAnsi="Consolas"/>
                <w:b/>
                <w:bCs/>
                <w:color w:val="0097B2"/>
                <w:spacing w:val="30"/>
                <w:sz w:val="16"/>
                <w:szCs w:val="16"/>
              </w:rPr>
              <w:t xml:space="preserve">WHY σ = 100 m </w:t>
            </w:r>
            <w:r>
              <w:rPr>
                <w:rFonts w:ascii="Calibri" w:cs="Calibri" w:eastAsia="Calibri" w:hAnsi="Calibri"/>
                <w:color w:val="1A2332"/>
                <w:sz w:val="18"/>
                <w:szCs w:val="18"/>
              </w:rPr>
              <w:t xml:space="preserve">100 m is a representative position uncertainty for typical LEO conjunctions based on published literature. It is neither optimistic nor pessimistic for most operational scenarios, but it cannot capture the per-event variation that full covariance provides.</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blHeader w:val="false"/>
        </w:trPr>
        <w:tc>
          <w:tcPr>
            <w:tcW w:type="dxa" w:w="9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60"/>
            </w:pPr>
            <w:r>
              <w:rPr>
                <w:rFonts w:ascii="Consolas" w:cs="Consolas" w:eastAsia="Consolas" w:hAnsi="Consolas"/>
                <w:b/>
                <w:bCs/>
                <w:color w:val="B86E00"/>
                <w:spacing w:val="30"/>
                <w:sz w:val="16"/>
                <w:szCs w:val="16"/>
              </w:rPr>
              <w:t xml:space="preserve">CONSISTENCY ≠ ACCURACY </w:t>
            </w:r>
            <w:r>
              <w:rPr>
                <w:rFonts w:ascii="Calibri" w:cs="Calibri" w:eastAsia="Calibri" w:hAnsi="Calibri"/>
                <w:color w:val="1A2332"/>
                <w:sz w:val="18"/>
                <w:szCs w:val="18"/>
              </w:rPr>
              <w:t xml:space="preserve">CAS explicitly does NOT claim percentage-based 'accuracy'. We validate consistency: our Pc computation produces results consistent with the Foster-Chan method to ≥99% across thousands of CDMs. Consistency is not the same as accuracy. Accuracy requires covariance data we do not have.</w:t>
            </w:r>
          </w:p>
        </w:tc>
      </w:tr>
    </w:tbl>
    <w:p>
      <w:pPr>
        <w:pStyle w:val="Heading1"/>
        <w:pBdr>
          <w:bottom w:val="single" w:color="0097B2" w:sz="8" w:space="4"/>
        </w:pBdr>
        <w:spacing w:after="120" w:before="360"/>
      </w:pPr>
      <w:r>
        <w:rPr>
          <w:rFonts w:ascii="Calibri" w:cs="Calibri" w:eastAsia="Calibri" w:hAnsi="Calibri"/>
          <w:b/>
          <w:bCs/>
          <w:color w:val="0B1F3A"/>
          <w:sz w:val="32"/>
          <w:szCs w:val="32"/>
        </w:rPr>
        <w:t xml:space="preserve">10. EU SST Integration</w:t>
      </w:r>
    </w:p>
    <w:p>
      <w:pPr>
        <w:spacing w:after="100" w:before="0" w:line="280"/>
        <w:jc w:val="both"/>
      </w:pPr>
      <w:r>
        <w:rPr>
          <w:rFonts w:ascii="Calibri" w:cs="Calibri" w:eastAsia="Calibri" w:hAnsi="Calibri"/>
          <w:b w:val="false"/>
          <w:bCs w:val="false"/>
          <w:i w:val="false"/>
          <w:iCs w:val="false"/>
          <w:color w:val="1A2332"/>
          <w:sz w:val="20"/>
          <w:szCs w:val="20"/>
        </w:rPr>
        <w:t xml:space="preserve">CAS integrates with the European Space Surveillance and Tracking (EU SST) service, operated by EUSPA. This provides three sub-sections in the portal:</w:t>
      </w:r>
    </w:p>
    <w:p>
      <w:pPr>
        <w:pStyle w:val="Heading2"/>
        <w:spacing w:after="80" w:before="240"/>
      </w:pPr>
      <w:r>
        <w:rPr>
          <w:rFonts w:ascii="Calibri" w:cs="Calibri" w:eastAsia="Calibri" w:hAnsi="Calibri"/>
          <w:b/>
          <w:bCs/>
          <w:color w:val="152D52"/>
          <w:sz w:val="26"/>
          <w:szCs w:val="26"/>
        </w:rPr>
        <w:t xml:space="preserve">10.1 EU SST Aggregate</w:t>
      </w:r>
    </w:p>
    <w:p>
      <w:pPr>
        <w:spacing w:after="100" w:before="0" w:line="280"/>
        <w:jc w:val="both"/>
      </w:pPr>
      <w:r>
        <w:rPr>
          <w:rFonts w:ascii="Calibri" w:cs="Calibri" w:eastAsia="Calibri" w:hAnsi="Calibri"/>
          <w:b w:val="false"/>
          <w:bCs w:val="false"/>
          <w:i w:val="false"/>
          <w:iCs w:val="false"/>
          <w:color w:val="1A2332"/>
          <w:sz w:val="20"/>
          <w:szCs w:val="20"/>
        </w:rPr>
        <w:t xml:space="preserve">A summary view showing total fragmentation events, total re-entry events, risk distribution, and orbital regime breakdown. Available to all tiers.</w:t>
      </w:r>
    </w:p>
    <w:p>
      <w:pPr>
        <w:pStyle w:val="Heading2"/>
        <w:spacing w:after="80" w:before="240"/>
      </w:pPr>
      <w:r>
        <w:rPr>
          <w:rFonts w:ascii="Calibri" w:cs="Calibri" w:eastAsia="Calibri" w:hAnsi="Calibri"/>
          <w:b/>
          <w:bCs/>
          <w:color w:val="152D52"/>
          <w:sz w:val="26"/>
          <w:szCs w:val="26"/>
        </w:rPr>
        <w:t xml:space="preserve">10.2 EU SST Re-entries</w:t>
      </w:r>
    </w:p>
    <w:p>
      <w:pPr>
        <w:spacing w:after="100" w:before="0" w:line="280"/>
        <w:jc w:val="both"/>
      </w:pPr>
      <w:r>
        <w:rPr>
          <w:rFonts w:ascii="Calibri" w:cs="Calibri" w:eastAsia="Calibri" w:hAnsi="Calibri"/>
          <w:b w:val="false"/>
          <w:bCs w:val="false"/>
          <w:i w:val="false"/>
          <w:iCs w:val="false"/>
          <w:color w:val="1A2332"/>
          <w:sz w:val="20"/>
          <w:szCs w:val="20"/>
        </w:rPr>
        <w:t xml:space="preserve">Tracks objects predicted to re-enter Earth's atmosphere. Each event shows: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rPr>
          <w:tblHeader/>
        </w:trPr>
        <w:tc>
          <w:tcPr>
            <w:tcW w:type="dxa" w:w="24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Field</w:t>
            </w:r>
          </w:p>
        </w:tc>
        <w:tc>
          <w:tcPr>
            <w:tcW w:type="dxa" w:w="7392"/>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Description</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Object Name</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Name of the re-entering object</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NORAD ID</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Catalog number</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Reentry (UTC)</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Predicted time of atmospheric entry</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Risk Level</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EU SST classification: Major / Medium / Minor</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Areas of Interest</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Ground regions potentially affected</w:t>
            </w:r>
          </w:p>
        </w:tc>
      </w:tr>
    </w:tbl>
    <w:p>
      <w:pPr>
        <w:spacing w:after="100" w:before="0" w:line="280"/>
        <w:jc w:val="both"/>
      </w:pPr>
      <w:r>
        <w:rPr>
          <w:rFonts w:ascii="Calibri" w:cs="Calibri" w:eastAsia="Calibri" w:hAnsi="Calibri"/>
          <w:b w:val="false"/>
          <w:bCs w:val="false"/>
          <w:i w:val="false"/>
          <w:iCs w:val="false"/>
          <w:color w:val="1A2332"/>
          <w:sz w:val="20"/>
          <w:szCs w:val="20"/>
        </w:rPr>
        <w:t xml:space="preserve">Events are sorted with upcoming re-entries first. Events within 48 hours are highlighted in red; within 7 days in amber. A countdown timer (T−Xh) shows time remaining.</w:t>
      </w:r>
    </w:p>
    <w:p>
      <w:pPr>
        <w:pStyle w:val="Heading2"/>
        <w:spacing w:after="80" w:before="240"/>
      </w:pPr>
      <w:r>
        <w:rPr>
          <w:rFonts w:ascii="Calibri" w:cs="Calibri" w:eastAsia="Calibri" w:hAnsi="Calibri"/>
          <w:b/>
          <w:bCs/>
          <w:color w:val="152D52"/>
          <w:sz w:val="26"/>
          <w:szCs w:val="26"/>
        </w:rPr>
        <w:t xml:space="preserve">10.3 EU SST Fragmentations</w:t>
      </w:r>
    </w:p>
    <w:p>
      <w:pPr>
        <w:spacing w:after="100" w:before="0" w:line="280"/>
        <w:jc w:val="both"/>
      </w:pPr>
      <w:r>
        <w:rPr>
          <w:rFonts w:ascii="Calibri" w:cs="Calibri" w:eastAsia="Calibri" w:hAnsi="Calibri"/>
          <w:b w:val="false"/>
          <w:bCs w:val="false"/>
          <w:i w:val="false"/>
          <w:iCs w:val="false"/>
          <w:color w:val="1A2332"/>
          <w:sz w:val="20"/>
          <w:szCs w:val="20"/>
        </w:rPr>
        <w:t xml:space="preserve">Tracks orbital breakup events (collisions, explosions, anomalies). Each event shows the parent object(s), orbital regime, event epoch, and fragment count where available.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blHeader w:val="false"/>
        </w:trPr>
        <w:tc>
          <w:tcPr>
            <w:tcW w:type="dxa" w:w="9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60"/>
            </w:pPr>
            <w:r>
              <w:rPr>
                <w:rFonts w:ascii="Consolas" w:cs="Consolas" w:eastAsia="Consolas" w:hAnsi="Consolas"/>
                <w:b/>
                <w:bCs/>
                <w:color w:val="0097B2"/>
                <w:spacing w:val="30"/>
                <w:sz w:val="16"/>
                <w:szCs w:val="16"/>
              </w:rPr>
              <w:t xml:space="preserve">DATA HANDLING </w:t>
            </w:r>
            <w:r>
              <w:rPr>
                <w:rFonts w:ascii="Calibri" w:cs="Calibri" w:eastAsia="Calibri" w:hAnsi="Calibri"/>
                <w:color w:val="1A2332"/>
                <w:sz w:val="18"/>
                <w:szCs w:val="18"/>
              </w:rPr>
              <w:t xml:space="preserve">Re-entry and fragmentation data is sourced from EU SST analysis services. EU SST data is used under public access terms; CAS provides independently computed analysis layered on top and is not affiliated with or endorsed by EU SST. Raw payloads are not redistributed to end users (per EU SST Terms of Service §5.1).</w:t>
            </w:r>
          </w:p>
        </w:tc>
      </w:tr>
    </w:tbl>
    <w:p>
      <w:pPr>
        <w:pStyle w:val="Heading1"/>
        <w:pBdr>
          <w:bottom w:val="single" w:color="0097B2" w:sz="8" w:space="4"/>
        </w:pBdr>
        <w:spacing w:after="120" w:before="360"/>
      </w:pPr>
      <w:r>
        <w:rPr>
          <w:rFonts w:ascii="Calibri" w:cs="Calibri" w:eastAsia="Calibri" w:hAnsi="Calibri"/>
          <w:b/>
          <w:bCs/>
          <w:color w:val="0B1F3A"/>
          <w:sz w:val="32"/>
          <w:szCs w:val="32"/>
        </w:rPr>
        <w:t xml:space="preserve">11. Space Weather</w:t>
      </w:r>
    </w:p>
    <w:p>
      <w:pPr>
        <w:spacing w:after="100" w:before="0" w:line="280"/>
        <w:jc w:val="both"/>
      </w:pPr>
      <w:r>
        <w:rPr>
          <w:rFonts w:ascii="Calibri" w:cs="Calibri" w:eastAsia="Calibri" w:hAnsi="Calibri"/>
          <w:b w:val="false"/>
          <w:bCs w:val="false"/>
          <w:i w:val="false"/>
          <w:iCs w:val="false"/>
          <w:color w:val="1A2332"/>
          <w:sz w:val="20"/>
          <w:szCs w:val="20"/>
        </w:rPr>
        <w:t xml:space="preserve">Space weather conditions directly affect LEO operations. The Space Weather panel surfaces three primary indices with operator-language interpretation, hourly snapshots over the past 7 days, and recent NOAA alerts.</w:t>
      </w:r>
    </w:p>
    <w:p>
      <w:pPr>
        <w:pStyle w:val="Heading2"/>
        <w:spacing w:after="80" w:before="240"/>
      </w:pPr>
      <w:r>
        <w:rPr>
          <w:rFonts w:ascii="Calibri" w:cs="Calibri" w:eastAsia="Calibri" w:hAnsi="Calibri"/>
          <w:b/>
          <w:bCs/>
          <w:color w:val="152D52"/>
          <w:sz w:val="26"/>
          <w:szCs w:val="26"/>
        </w:rPr>
        <w:t xml:space="preserve">11.1 Indices Tracked</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892"/>
      </w:tblGrid>
      <w:tr>
        <w:trPr>
          <w:tblHeader/>
        </w:trPr>
        <w:tc>
          <w:tcPr>
            <w:tcW w:type="dxa" w:w="24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Index</w:t>
            </w:r>
          </w:p>
        </w:tc>
        <w:tc>
          <w:tcPr>
            <w:tcW w:type="dxa" w:w="15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Range</w:t>
            </w:r>
          </w:p>
        </w:tc>
        <w:tc>
          <w:tcPr>
            <w:tcW w:type="dxa" w:w="5892"/>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Operational Meaning</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Geomagnetic Kp</w:t>
            </w:r>
          </w:p>
        </w:tc>
        <w:tc>
          <w:tcPr>
            <w:tcW w:type="dxa" w:w="1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0–9</w:t>
            </w:r>
          </w:p>
        </w:tc>
        <w:tc>
          <w:tcPr>
            <w:tcW w:type="dxa" w:w="58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Kp ≥ 5 indicates a geomagnetic storm. Storms inflate atmospheric drag, accelerate orbit decay in LEO, and degrade short-term TLE accuracy.</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F10.7 solar flux</w:t>
            </w:r>
          </w:p>
        </w:tc>
        <w:tc>
          <w:tcPr>
            <w:tcW w:type="dxa" w:w="1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sfu</w:t>
            </w:r>
          </w:p>
        </w:tc>
        <w:tc>
          <w:tcPr>
            <w:tcW w:type="dxa" w:w="58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Drives upper-atmosphere density. Elevated F10.7 increases drag and affects orbit propagation accuracy.</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X-ray peak</w:t>
            </w:r>
          </w:p>
        </w:tc>
        <w:tc>
          <w:tcPr>
            <w:tcW w:type="dxa" w:w="1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A/B/C/M/X</w:t>
            </w:r>
          </w:p>
        </w:tc>
        <w:tc>
          <w:tcPr>
            <w:tcW w:type="dxa" w:w="58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Solar flare classification. M-class and X-class events indicate ionospheric disturbances and possible single-event upsets.</w:t>
            </w:r>
          </w:p>
        </w:tc>
      </w:tr>
    </w:tbl>
    <w:p>
      <w:pPr>
        <w:pStyle w:val="Heading2"/>
        <w:spacing w:after="80" w:before="240"/>
      </w:pPr>
      <w:r>
        <w:rPr>
          <w:rFonts w:ascii="Calibri" w:cs="Calibri" w:eastAsia="Calibri" w:hAnsi="Calibri"/>
          <w:b/>
          <w:bCs/>
          <w:color w:val="152D52"/>
          <w:sz w:val="26"/>
          <w:szCs w:val="26"/>
        </w:rPr>
        <w:t xml:space="preserve">11.2 How to Use</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Read the three headline cards for current state at a glance.</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Inspect the snapshot grid for the past 7 days to identify trends or recent storms.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Scan the NOAA alerts ticker for warnings that may affect upcoming maneuver windows.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Factor Kp ≥ 5 into TLE accuracy assumptions before committing to a maneuver.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blHeader w:val="false"/>
        </w:trPr>
        <w:tc>
          <w:tcPr>
            <w:tcW w:type="dxa" w:w="9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60"/>
            </w:pPr>
            <w:r>
              <w:rPr>
                <w:rFonts w:ascii="Consolas" w:cs="Consolas" w:eastAsia="Consolas" w:hAnsi="Consolas"/>
                <w:b/>
                <w:bCs/>
                <w:color w:val="0097B2"/>
                <w:spacing w:val="30"/>
                <w:sz w:val="16"/>
                <w:szCs w:val="16"/>
              </w:rPr>
              <w:t xml:space="preserve">RETROSPECTIVE CORRELATION </w:t>
            </w:r>
            <w:r>
              <w:rPr>
                <w:rFonts w:ascii="Calibri" w:cs="Calibri" w:eastAsia="Calibri" w:hAnsi="Calibri"/>
                <w:color w:val="1A2332"/>
                <w:sz w:val="18"/>
                <w:szCs w:val="18"/>
              </w:rPr>
              <w:t xml:space="preserve">Space weather snapshots are stored alongside conjunction data. Post-event analysis can correlate Pc shifts with geomagnetic activity to better understand atmospheric-driven prediction error.</w:t>
            </w:r>
          </w:p>
        </w:tc>
      </w:tr>
    </w:tbl>
    <w:p>
      <w:pPr>
        <w:pStyle w:val="Heading2"/>
        <w:spacing w:after="80" w:before="240"/>
      </w:pPr>
      <w:r>
        <w:rPr>
          <w:rFonts w:ascii="Calibri" w:cs="Calibri" w:eastAsia="Calibri" w:hAnsi="Calibri"/>
          <w:b/>
          <w:bCs/>
          <w:color w:val="152D52"/>
          <w:sz w:val="26"/>
          <w:szCs w:val="26"/>
        </w:rPr>
        <w:t xml:space="preserve">11.3 Source</w:t>
      </w:r>
    </w:p>
    <w:p>
      <w:pPr>
        <w:spacing w:after="100" w:before="0" w:line="280"/>
        <w:jc w:val="both"/>
      </w:pPr>
      <w:r>
        <w:rPr>
          <w:rFonts w:ascii="Calibri" w:cs="Calibri" w:eastAsia="Calibri" w:hAnsi="Calibri"/>
          <w:b w:val="false"/>
          <w:bCs w:val="false"/>
          <w:i w:val="false"/>
          <w:iCs w:val="false"/>
          <w:color w:val="1A2332"/>
          <w:sz w:val="20"/>
          <w:szCs w:val="20"/>
        </w:rPr>
        <w:t xml:space="preserve">All space weather data is sourced from NOAA Space Weather Prediction Center public feeds, polled hourly. CAS performs no independent observation; the panel is a curated, operator-focused presentation of public NOAA data with operational interpretation.</w:t>
      </w:r>
    </w:p>
    <w:p>
      <w:pPr>
        <w:pStyle w:val="Heading1"/>
        <w:pBdr>
          <w:bottom w:val="single" w:color="0097B2" w:sz="8" w:space="4"/>
        </w:pBdr>
        <w:spacing w:after="120" w:before="360"/>
      </w:pPr>
      <w:r>
        <w:rPr>
          <w:rFonts w:ascii="Calibri" w:cs="Calibri" w:eastAsia="Calibri" w:hAnsi="Calibri"/>
          <w:b/>
          <w:bCs/>
          <w:color w:val="0B1F3A"/>
          <w:sz w:val="32"/>
          <w:szCs w:val="32"/>
        </w:rPr>
        <w:t xml:space="preserve">12. Historical Events</w:t>
      </w:r>
    </w:p>
    <w:p>
      <w:pPr>
        <w:spacing w:after="100" w:before="0" w:line="280"/>
        <w:jc w:val="both"/>
      </w:pPr>
      <w:r>
        <w:rPr>
          <w:rFonts w:ascii="Calibri" w:cs="Calibri" w:eastAsia="Calibri" w:hAnsi="Calibri"/>
          <w:b w:val="false"/>
          <w:bCs w:val="false"/>
          <w:i w:val="false"/>
          <w:iCs w:val="false"/>
          <w:color w:val="1A2332"/>
          <w:sz w:val="20"/>
          <w:szCs w:val="20"/>
        </w:rPr>
        <w:t xml:space="preserve">The Historical Events tab presents a curated set of high-Pc reference conjunctions drawn from real Space-Track CDMs. Each entry pairs the original CDM data with the CAS recommendation that would have applied and the actual operational outcome where known.</w:t>
      </w:r>
    </w:p>
    <w:p>
      <w:pPr>
        <w:pStyle w:val="Heading2"/>
        <w:spacing w:after="80" w:before="240"/>
      </w:pPr>
      <w:r>
        <w:rPr>
          <w:rFonts w:ascii="Calibri" w:cs="Calibri" w:eastAsia="Calibri" w:hAnsi="Calibri"/>
          <w:b/>
          <w:bCs/>
          <w:color w:val="152D52"/>
          <w:sz w:val="26"/>
          <w:szCs w:val="26"/>
        </w:rPr>
        <w:t xml:space="preserve">12.1 Why It Matters</w:t>
      </w:r>
    </w:p>
    <w:p>
      <w:pPr>
        <w:spacing w:after="100" w:before="0" w:line="280"/>
        <w:jc w:val="both"/>
      </w:pPr>
      <w:r>
        <w:rPr>
          <w:rFonts w:ascii="Calibri" w:cs="Calibri" w:eastAsia="Calibri" w:hAnsi="Calibri"/>
          <w:b w:val="false"/>
          <w:bCs w:val="false"/>
          <w:i w:val="false"/>
          <w:iCs w:val="false"/>
          <w:color w:val="1A2332"/>
          <w:sz w:val="20"/>
          <w:szCs w:val="20"/>
        </w:rPr>
        <w:t xml:space="preserve">Historical Events serves three operator needs: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Edge-case familiarization — see how CAS reasons about covariance squeeze, debris-debris events, heritage assets without maneuver capability, and emerging debris fields.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Decision-layer transparency — observe how Pc values in scientific notation map to operational verdicts and threshold context (e.g. '1.15e-2, ~115× RED threshold').</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Training material — onboarding new mission planners with documented past events rather than synthetic scenarios.</w:t>
      </w:r>
    </w:p>
    <w:p>
      <w:pPr>
        <w:pStyle w:val="Heading2"/>
        <w:spacing w:after="80" w:before="240"/>
      </w:pPr>
      <w:r>
        <w:rPr>
          <w:rFonts w:ascii="Calibri" w:cs="Calibri" w:eastAsia="Calibri" w:hAnsi="Calibri"/>
          <w:b/>
          <w:bCs/>
          <w:color w:val="152D52"/>
          <w:sz w:val="26"/>
          <w:szCs w:val="26"/>
        </w:rPr>
        <w:t xml:space="preserve">12.2 Reference Set Composition</w:t>
      </w:r>
    </w:p>
    <w:p>
      <w:pPr>
        <w:spacing w:after="100" w:before="0" w:line="280"/>
        <w:jc w:val="both"/>
      </w:pPr>
      <w:r>
        <w:rPr>
          <w:rFonts w:ascii="Calibri" w:cs="Calibri" w:eastAsia="Calibri" w:hAnsi="Calibri"/>
          <w:b w:val="false"/>
          <w:bCs w:val="false"/>
          <w:i w:val="false"/>
          <w:iCs w:val="false"/>
          <w:color w:val="1A2332"/>
          <w:sz w:val="20"/>
          <w:szCs w:val="20"/>
        </w:rPr>
        <w:t xml:space="preserve">Reference events are selected to span different operational regimes: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Covariance-driven events (high Pc with tight uncertainty).</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Debris-on-debris conjunctions (no maneuver possible — cascade-risk reasoning).</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Heritage assets without active control.</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Active constellation conjunctions.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Emerging debris fields from recent fragmentation events.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9792"/>
      </w:tblGrid>
      <w:tr>
        <w:trPr>
          <w:tblHeader w:val="false"/>
        </w:trPr>
        <w:tc>
          <w:tcPr>
            <w:tcW w:type="dxa" w:w="97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60"/>
            </w:pPr>
            <w:r>
              <w:rPr>
                <w:rFonts w:ascii="Consolas" w:cs="Consolas" w:eastAsia="Consolas" w:hAnsi="Consolas"/>
                <w:b/>
                <w:bCs/>
                <w:color w:val="0097B2"/>
                <w:spacing w:val="30"/>
                <w:sz w:val="16"/>
                <w:szCs w:val="16"/>
              </w:rPr>
              <w:t xml:space="preserve">NO SYNTHETIC DATA </w:t>
            </w:r>
            <w:r>
              <w:rPr>
                <w:rFonts w:ascii="Calibri" w:cs="Calibri" w:eastAsia="Calibri" w:hAnsi="Calibri"/>
                <w:color w:val="1A2332"/>
                <w:sz w:val="18"/>
                <w:szCs w:val="18"/>
              </w:rPr>
              <w:t xml:space="preserve">Reference entries are drawn exclusively from real historical events in the Space-Track CDM record. CAS does not present synthetic or invented scenarios in this view.</w:t>
            </w:r>
          </w:p>
        </w:tc>
      </w:tr>
    </w:tbl>
    <w:p>
      <w:pPr>
        <w:pStyle w:val="Heading1"/>
        <w:pBdr>
          <w:bottom w:val="single" w:color="0097B2" w:sz="8" w:space="4"/>
        </w:pBdr>
        <w:spacing w:after="120" w:before="360"/>
      </w:pPr>
      <w:r>
        <w:rPr>
          <w:rFonts w:ascii="Calibri" w:cs="Calibri" w:eastAsia="Calibri" w:hAnsi="Calibri"/>
          <w:b/>
          <w:bCs/>
          <w:color w:val="0B1F3A"/>
          <w:sz w:val="32"/>
          <w:szCs w:val="32"/>
        </w:rPr>
        <w:t xml:space="preserve">13. Live Catalog (3D Globe)</w:t>
      </w:r>
    </w:p>
    <w:p>
      <w:pPr>
        <w:spacing w:after="100" w:before="0" w:line="280"/>
        <w:jc w:val="both"/>
      </w:pPr>
      <w:r>
        <w:rPr>
          <w:rFonts w:ascii="Calibri" w:cs="Calibri" w:eastAsia="Calibri" w:hAnsi="Calibri"/>
          <w:b w:val="false"/>
          <w:bCs w:val="false"/>
          <w:i w:val="false"/>
          <w:iCs w:val="false"/>
          <w:color w:val="1A2332"/>
          <w:sz w:val="20"/>
          <w:szCs w:val="20"/>
        </w:rPr>
        <w:t xml:space="preserve">The Live Catalog displays the full tracked object set on an interactive 3D CesiumJS globe. Objects are color-coded by type: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092"/>
      </w:tblGrid>
      <w:tr>
        <w:trPr>
          <w:tblHeader/>
        </w:trPr>
        <w:tc>
          <w:tcPr>
            <w:tcW w:type="dxa" w:w="22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Color</w:t>
            </w:r>
          </w:p>
        </w:tc>
        <w:tc>
          <w:tcPr>
            <w:tcW w:type="dxa" w:w="35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Object Type</w:t>
            </w:r>
          </w:p>
        </w:tc>
        <w:tc>
          <w:tcPr>
            <w:tcW w:type="dxa" w:w="4092"/>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Notes</w:t>
            </w:r>
          </w:p>
        </w:tc>
      </w:tr>
      <w:tr>
        <w:trPr>
          <w:tblHeader w:val="false"/>
        </w:trPr>
        <w:tc>
          <w:tcPr>
            <w:tcW w:type="dxa" w:w="22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Blue/Cyan</w:t>
            </w:r>
          </w:p>
        </w:tc>
        <w:tc>
          <w:tcPr>
            <w:tcW w:type="dxa" w:w="3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Payload / Active Satellite</w:t>
            </w:r>
          </w:p>
        </w:tc>
        <w:tc>
          <w:tcPr>
            <w:tcW w:type="dxa" w:w="40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Operational satellites and payloads.</w:t>
            </w:r>
          </w:p>
        </w:tc>
      </w:tr>
      <w:tr>
        <w:trPr>
          <w:tblHeader w:val="false"/>
        </w:trPr>
        <w:tc>
          <w:tcPr>
            <w:tcW w:type="dxa" w:w="22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Red/Pink</w:t>
            </w:r>
          </w:p>
        </w:tc>
        <w:tc>
          <w:tcPr>
            <w:tcW w:type="dxa" w:w="3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Debris</w:t>
            </w:r>
          </w:p>
        </w:tc>
        <w:tc>
          <w:tcPr>
            <w:tcW w:type="dxa" w:w="40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Fragmentation debris, collision debris, ASAT debris.</w:t>
            </w:r>
          </w:p>
        </w:tc>
      </w:tr>
      <w:tr>
        <w:trPr>
          <w:tblHeader w:val="false"/>
        </w:trPr>
        <w:tc>
          <w:tcPr>
            <w:tcW w:type="dxa" w:w="22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Orange</w:t>
            </w:r>
          </w:p>
        </w:tc>
        <w:tc>
          <w:tcPr>
            <w:tcW w:type="dxa" w:w="3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Rocket Body</w:t>
            </w:r>
          </w:p>
        </w:tc>
        <w:tc>
          <w:tcPr>
            <w:tcW w:type="dxa" w:w="40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Spent upper stages.</w:t>
            </w:r>
          </w:p>
        </w:tc>
      </w:tr>
      <w:tr>
        <w:trPr>
          <w:tblHeader w:val="false"/>
        </w:trPr>
        <w:tc>
          <w:tcPr>
            <w:tcW w:type="dxa" w:w="22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Yellow</w:t>
            </w:r>
          </w:p>
        </w:tc>
        <w:tc>
          <w:tcPr>
            <w:tcW w:type="dxa" w:w="3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Space Station</w:t>
            </w:r>
          </w:p>
        </w:tc>
        <w:tc>
          <w:tcPr>
            <w:tcW w:type="dxa" w:w="40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Crewed orbital platforms.</w:t>
            </w:r>
          </w:p>
        </w:tc>
      </w:tr>
    </w:tbl>
    <w:p>
      <w:pPr>
        <w:pStyle w:val="Heading2"/>
        <w:spacing w:after="80" w:before="240"/>
      </w:pPr>
      <w:r>
        <w:rPr>
          <w:rFonts w:ascii="Calibri" w:cs="Calibri" w:eastAsia="Calibri" w:hAnsi="Calibri"/>
          <w:b/>
          <w:bCs/>
          <w:color w:val="152D52"/>
          <w:sz w:val="26"/>
          <w:szCs w:val="26"/>
        </w:rPr>
        <w:t xml:space="preserve">13.1 Data Sources</w:t>
      </w:r>
    </w:p>
    <w:p>
      <w:pPr>
        <w:spacing w:after="100" w:before="0" w:line="280"/>
        <w:jc w:val="both"/>
      </w:pPr>
      <w:r>
        <w:rPr>
          <w:rFonts w:ascii="Calibri" w:cs="Calibri" w:eastAsia="Calibri" w:hAnsi="Calibri"/>
          <w:b w:val="false"/>
          <w:bCs w:val="false"/>
          <w:i w:val="false"/>
          <w:iCs w:val="false"/>
          <w:color w:val="1A2332"/>
          <w:sz w:val="20"/>
          <w:szCs w:val="20"/>
        </w:rPr>
        <w:t xml:space="preserve">The catalog aggregates TLE data from two sources: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Celestrak — multiple object groups: active payloads, major debris families, rocket bodies, space stations, selected operational constellations.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Space-Track — LEO debris and rocket body catalog filtered by perigee bound.</w:t>
      </w:r>
    </w:p>
    <w:p>
      <w:pPr>
        <w:spacing w:after="100" w:before="0" w:line="280"/>
        <w:jc w:val="both"/>
      </w:pPr>
      <w:r>
        <w:rPr>
          <w:rFonts w:ascii="Calibri" w:cs="Calibri" w:eastAsia="Calibri" w:hAnsi="Calibri"/>
          <w:b w:val="false"/>
          <w:bCs w:val="false"/>
          <w:i w:val="false"/>
          <w:iCs w:val="false"/>
          <w:color w:val="1A2332"/>
          <w:sz w:val="20"/>
          <w:szCs w:val="20"/>
        </w:rPr>
        <w:t xml:space="preserve">Data is cached for 6 hours, deduplicated by NORAD identifier, and the 'Tracked Objects' counter shows the unique object count after deduplication.</w:t>
      </w:r>
    </w:p>
    <w:p>
      <w:pPr>
        <w:pStyle w:val="Heading2"/>
        <w:spacing w:after="80" w:before="240"/>
      </w:pPr>
      <w:r>
        <w:rPr>
          <w:rFonts w:ascii="Calibri" w:cs="Calibri" w:eastAsia="Calibri" w:hAnsi="Calibri"/>
          <w:b/>
          <w:bCs/>
          <w:color w:val="152D52"/>
          <w:sz w:val="26"/>
          <w:szCs w:val="26"/>
        </w:rPr>
        <w:t xml:space="preserve">13.2 Side Panels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Orbital Congestion (right): object count per orbital regime (LEO, MEO, GEO, HEO/Other) with density flag (MODERATE / HIGH / CRITICAL).</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Major Debris Sources: fragment counts from significant debris-generating events such as ASAT tests and on-orbit collisions.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RED Conjunctions (left): live ticker of currently active red-band conjunction events.</w:t>
      </w:r>
    </w:p>
    <w:p>
      <w:pPr>
        <w:pStyle w:val="Heading1"/>
        <w:pBdr>
          <w:bottom w:val="single" w:color="0097B2" w:sz="8" w:space="4"/>
        </w:pBdr>
        <w:spacing w:after="120" w:before="360"/>
      </w:pPr>
      <w:r>
        <w:rPr>
          <w:rFonts w:ascii="Calibri" w:cs="Calibri" w:eastAsia="Calibri" w:hAnsi="Calibri"/>
          <w:b/>
          <w:bCs/>
          <w:color w:val="0B1F3A"/>
          <w:sz w:val="32"/>
          <w:szCs w:val="32"/>
        </w:rPr>
        <w:t xml:space="preserve">14. Launches</w:t>
      </w:r>
    </w:p>
    <w:p>
      <w:pPr>
        <w:spacing w:after="100" w:before="0" w:line="280"/>
        <w:jc w:val="both"/>
      </w:pPr>
      <w:r>
        <w:rPr>
          <w:rFonts w:ascii="Calibri" w:cs="Calibri" w:eastAsia="Calibri" w:hAnsi="Calibri"/>
          <w:b w:val="false"/>
          <w:bCs w:val="false"/>
          <w:i w:val="false"/>
          <w:iCs w:val="false"/>
          <w:color w:val="1A2332"/>
          <w:sz w:val="20"/>
          <w:szCs w:val="20"/>
        </w:rPr>
        <w:t xml:space="preserve">The Launches tab presents the global launch schedule, sourced from public launch APIs. Two tabs: Upcoming and Recent.</w:t>
      </w:r>
    </w:p>
    <w:p>
      <w:pPr>
        <w:pStyle w:val="Heading2"/>
        <w:spacing w:after="80" w:before="240"/>
      </w:pPr>
      <w:r>
        <w:rPr>
          <w:rFonts w:ascii="Calibri" w:cs="Calibri" w:eastAsia="Calibri" w:hAnsi="Calibri"/>
          <w:b/>
          <w:bCs/>
          <w:color w:val="152D52"/>
          <w:sz w:val="26"/>
          <w:szCs w:val="26"/>
        </w:rPr>
        <w:t xml:space="preserve">14.1 Why Operators Use It</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Anticipate near-term population growth in your orbital regime.</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Track new constellation deployments before objects appear in CDM feeds.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Allocate review attention ahead of major payload deployments.</w:t>
      </w:r>
    </w:p>
    <w:p>
      <w:pPr>
        <w:pStyle w:val="Heading2"/>
        <w:spacing w:after="80" w:before="240"/>
      </w:pPr>
      <w:r>
        <w:rPr>
          <w:rFonts w:ascii="Calibri" w:cs="Calibri" w:eastAsia="Calibri" w:hAnsi="Calibri"/>
          <w:b/>
          <w:bCs/>
          <w:color w:val="152D52"/>
          <w:sz w:val="26"/>
          <w:szCs w:val="26"/>
        </w:rPr>
        <w:t xml:space="preserve">14.2 Field Reference</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rPr>
          <w:tblHeader/>
        </w:trPr>
        <w:tc>
          <w:tcPr>
            <w:tcW w:type="dxa" w:w="24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Field</w:t>
            </w:r>
          </w:p>
        </w:tc>
        <w:tc>
          <w:tcPr>
            <w:tcW w:type="dxa" w:w="7392"/>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Description</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Vehicle</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Launch vehicle identifier</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Payload</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Primary payload name and classification</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Provider</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Launch service provider</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Site</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Launch site</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Status</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T-minus countdown (Upcoming) or outcome (Recent)</w:t>
            </w:r>
          </w:p>
        </w:tc>
      </w:tr>
    </w:tbl>
    <w:p>
      <w:pPr>
        <w:pStyle w:val="Heading1"/>
        <w:pBdr>
          <w:bottom w:val="single" w:color="0097B2" w:sz="8" w:space="4"/>
        </w:pBdr>
        <w:spacing w:after="120" w:before="360"/>
      </w:pPr>
      <w:r>
        <w:rPr>
          <w:rFonts w:ascii="Calibri" w:cs="Calibri" w:eastAsia="Calibri" w:hAnsi="Calibri"/>
          <w:b/>
          <w:bCs/>
          <w:color w:val="0B1F3A"/>
          <w:sz w:val="32"/>
          <w:szCs w:val="32"/>
        </w:rPr>
        <w:t xml:space="preserve">15. Space Industry Directory</w:t>
      </w:r>
    </w:p>
    <w:p>
      <w:pPr>
        <w:spacing w:after="100" w:before="0" w:line="280"/>
        <w:jc w:val="both"/>
      </w:pPr>
      <w:r>
        <w:rPr>
          <w:rFonts w:ascii="Calibri" w:cs="Calibri" w:eastAsia="Calibri" w:hAnsi="Calibri"/>
          <w:b w:val="false"/>
          <w:bCs w:val="false"/>
          <w:i w:val="false"/>
          <w:iCs w:val="false"/>
          <w:color w:val="1A2332"/>
          <w:sz w:val="20"/>
          <w:szCs w:val="20"/>
        </w:rPr>
        <w:t xml:space="preserve">The Directory is a searchable registry of operators, agencies, manufacturers, SSA providers, and launch service organizations. Each entry carries constellation, satellite count, and contact information where available.</w:t>
      </w:r>
    </w:p>
    <w:p>
      <w:pPr>
        <w:pStyle w:val="Heading2"/>
        <w:spacing w:after="80" w:before="240"/>
      </w:pPr>
      <w:r>
        <w:rPr>
          <w:rFonts w:ascii="Calibri" w:cs="Calibri" w:eastAsia="Calibri" w:hAnsi="Calibri"/>
          <w:b/>
          <w:bCs/>
          <w:color w:val="152D52"/>
          <w:sz w:val="26"/>
          <w:szCs w:val="26"/>
        </w:rPr>
        <w:t xml:space="preserve">15.1 Operator Use Cases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When a CDM names an unfamiliar counterpart, the directory closes the gap fast — operator, fleet size, contact channel.</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Speeds coordinated maneuver decisions by surfacing direct contact paths.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Cross-references operators against active payloads in the NORAD catalog.</w:t>
      </w:r>
    </w:p>
    <w:p>
      <w:pPr>
        <w:pStyle w:val="Heading1"/>
        <w:pBdr>
          <w:bottom w:val="single" w:color="0097B2" w:sz="8" w:space="4"/>
        </w:pBdr>
        <w:spacing w:after="120" w:before="360"/>
      </w:pPr>
      <w:r>
        <w:rPr>
          <w:rFonts w:ascii="Calibri" w:cs="Calibri" w:eastAsia="Calibri" w:hAnsi="Calibri"/>
          <w:b/>
          <w:bCs/>
          <w:color w:val="0B1F3A"/>
          <w:sz w:val="32"/>
          <w:szCs w:val="32"/>
        </w:rPr>
        <w:t xml:space="preserve">16. API Access</w:t>
      </w:r>
    </w:p>
    <w:p>
      <w:pPr>
        <w:spacing w:after="100" w:before="0" w:line="280"/>
        <w:jc w:val="both"/>
      </w:pPr>
      <w:r>
        <w:rPr>
          <w:rFonts w:ascii="Calibri" w:cs="Calibri" w:eastAsia="Calibri" w:hAnsi="Calibri"/>
          <w:b w:val="false"/>
          <w:bCs w:val="false"/>
          <w:i w:val="false"/>
          <w:iCs w:val="false"/>
          <w:color w:val="1A2332"/>
          <w:sz w:val="20"/>
          <w:szCs w:val="20"/>
        </w:rPr>
        <w:t xml:space="preserve">CAS provides a RESTful API for programmatic access. Authenticate using your API key in the Authorization header:</w:t>
      </w:r>
    </w:p>
    <w:p>
      <w:pPr>
        <w:spacing w:after="100" w:before="0" w:line="280"/>
        <w:jc w:val="both"/>
      </w:pPr>
      <w:r>
        <w:rPr>
          <w:rFonts w:ascii="Calibri" w:cs="Calibri" w:eastAsia="Calibri" w:hAnsi="Calibri"/>
          <w:b w:val="false"/>
          <w:bCs w:val="false"/>
          <w:i w:val="false"/>
          <w:iCs w:val="false"/>
          <w:color w:val="1A2332"/>
          <w:sz w:val="20"/>
          <w:szCs w:val="20"/>
        </w:rPr>
        <w:t xml:space="preserve">Authorization: ApiKey cas_xxxxxxxxxxxxxxxxxxxx</w:t>
      </w:r>
    </w:p>
    <w:p>
      <w:pPr>
        <w:pStyle w:val="Heading2"/>
        <w:spacing w:after="80" w:before="240"/>
      </w:pPr>
      <w:r>
        <w:rPr>
          <w:rFonts w:ascii="Calibri" w:cs="Calibri" w:eastAsia="Calibri" w:hAnsi="Calibri"/>
          <w:b/>
          <w:bCs/>
          <w:color w:val="152D52"/>
          <w:sz w:val="26"/>
          <w:szCs w:val="26"/>
        </w:rPr>
        <w:t xml:space="preserve">16.1 Key Endpoints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5292"/>
      </w:tblGrid>
      <w:tr>
        <w:trPr>
          <w:tblHeader/>
        </w:trPr>
        <w:tc>
          <w:tcPr>
            <w:tcW w:type="dxa" w:w="10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Method</w:t>
            </w:r>
          </w:p>
        </w:tc>
        <w:tc>
          <w:tcPr>
            <w:tcW w:type="dxa" w:w="35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Endpoint</w:t>
            </w:r>
          </w:p>
        </w:tc>
        <w:tc>
          <w:tcPr>
            <w:tcW w:type="dxa" w:w="5292"/>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Description</w:t>
            </w:r>
          </w:p>
        </w:tc>
      </w:tr>
      <w:tr>
        <w:trPr>
          <w:tblHeader w:val="false"/>
        </w:trPr>
        <w:tc>
          <w:tcPr>
            <w:tcW w:type="dxa" w:w="10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w:t>
            </w:r>
          </w:p>
        </w:tc>
        <w:tc>
          <w:tcPr>
            <w:tcW w:type="dxa" w:w="3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/auth/me</w:t>
            </w:r>
          </w:p>
        </w:tc>
        <w:tc>
          <w:tcPr>
            <w:tcW w:type="dxa" w:w="52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Verify authentication and retrieve user info</w:t>
            </w:r>
          </w:p>
        </w:tc>
      </w:tr>
      <w:tr>
        <w:trPr>
          <w:tblHeader w:val="false"/>
        </w:trPr>
        <w:tc>
          <w:tcPr>
            <w:tcW w:type="dxa" w:w="10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w:t>
            </w:r>
          </w:p>
        </w:tc>
        <w:tc>
          <w:tcPr>
            <w:tcW w:type="dxa" w:w="3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/watchlist</w:t>
            </w:r>
          </w:p>
        </w:tc>
        <w:tc>
          <w:tcPr>
            <w:tcW w:type="dxa" w:w="52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List your watchlist satellites</w:t>
            </w:r>
          </w:p>
        </w:tc>
      </w:tr>
      <w:tr>
        <w:trPr>
          <w:tblHeader w:val="false"/>
        </w:trPr>
        <w:tc>
          <w:tcPr>
            <w:tcW w:type="dxa" w:w="10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POST</w:t>
            </w:r>
          </w:p>
        </w:tc>
        <w:tc>
          <w:tcPr>
            <w:tcW w:type="dxa" w:w="3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/watchlist/add</w:t>
            </w:r>
          </w:p>
        </w:tc>
        <w:tc>
          <w:tcPr>
            <w:tcW w:type="dxa" w:w="52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Add a satellite (body: {norad_id, sat_name})</w:t>
            </w:r>
          </w:p>
        </w:tc>
      </w:tr>
      <w:tr>
        <w:trPr>
          <w:tblHeader w:val="false"/>
        </w:trPr>
        <w:tc>
          <w:tcPr>
            <w:tcW w:type="dxa" w:w="10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w:t>
            </w:r>
          </w:p>
        </w:tc>
        <w:tc>
          <w:tcPr>
            <w:tcW w:type="dxa" w:w="3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/api/decision/dashboard</w:t>
            </w:r>
          </w:p>
        </w:tc>
        <w:tc>
          <w:tcPr>
            <w:tcW w:type="dxa" w:w="52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 all decision results</w:t>
            </w:r>
          </w:p>
        </w:tc>
      </w:tr>
      <w:tr>
        <w:trPr>
          <w:tblHeader w:val="false"/>
        </w:trPr>
        <w:tc>
          <w:tcPr>
            <w:tcW w:type="dxa" w:w="10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w:t>
            </w:r>
          </w:p>
        </w:tc>
        <w:tc>
          <w:tcPr>
            <w:tcW w:type="dxa" w:w="3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/api/decision/scan</w:t>
            </w:r>
          </w:p>
        </w:tc>
        <w:tc>
          <w:tcPr>
            <w:tcW w:type="dxa" w:w="52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Trigger a fresh decision scan</w:t>
            </w:r>
          </w:p>
        </w:tc>
      </w:tr>
      <w:tr>
        <w:trPr>
          <w:tblHeader w:val="false"/>
        </w:trPr>
        <w:tc>
          <w:tcPr>
            <w:tcW w:type="dxa" w:w="10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POST</w:t>
            </w:r>
          </w:p>
        </w:tc>
        <w:tc>
          <w:tcPr>
            <w:tcW w:type="dxa" w:w="3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/api/operator-decision</w:t>
            </w:r>
          </w:p>
        </w:tc>
        <w:tc>
          <w:tcPr>
            <w:tcW w:type="dxa" w:w="52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Record your maneuver decision</w:t>
            </w:r>
          </w:p>
        </w:tc>
      </w:tr>
      <w:tr>
        <w:trPr>
          <w:tblHeader w:val="false"/>
        </w:trPr>
        <w:tc>
          <w:tcPr>
            <w:tcW w:type="dxa" w:w="10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w:t>
            </w:r>
          </w:p>
        </w:tc>
        <w:tc>
          <w:tcPr>
            <w:tcW w:type="dxa" w:w="3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/api/trend/&lt;norad_id&gt;</w:t>
            </w:r>
          </w:p>
        </w:tc>
        <w:tc>
          <w:tcPr>
            <w:tcW w:type="dxa" w:w="52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 72h Pc trend for a satellite</w:t>
            </w:r>
          </w:p>
        </w:tc>
      </w:tr>
      <w:tr>
        <w:trPr>
          <w:tblHeader w:val="false"/>
        </w:trPr>
        <w:tc>
          <w:tcPr>
            <w:tcW w:type="dxa" w:w="10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w:t>
            </w:r>
          </w:p>
        </w:tc>
        <w:tc>
          <w:tcPr>
            <w:tcW w:type="dxa" w:w="3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/api/history?limit=50</w:t>
            </w:r>
          </w:p>
        </w:tc>
        <w:tc>
          <w:tcPr>
            <w:tcW w:type="dxa" w:w="52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 recent conjunction events</w:t>
            </w:r>
          </w:p>
        </w:tc>
      </w:tr>
      <w:tr>
        <w:trPr>
          <w:tblHeader w:val="false"/>
        </w:trPr>
        <w:tc>
          <w:tcPr>
            <w:tcW w:type="dxa" w:w="10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w:t>
            </w:r>
          </w:p>
        </w:tc>
        <w:tc>
          <w:tcPr>
            <w:tcW w:type="dxa" w:w="3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/api/eusst/aggregate</w:t>
            </w:r>
          </w:p>
        </w:tc>
        <w:tc>
          <w:tcPr>
            <w:tcW w:type="dxa" w:w="52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EU SST summary data</w:t>
            </w:r>
          </w:p>
        </w:tc>
      </w:tr>
      <w:tr>
        <w:trPr>
          <w:tblHeader w:val="false"/>
        </w:trPr>
        <w:tc>
          <w:tcPr>
            <w:tcW w:type="dxa" w:w="10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w:t>
            </w:r>
          </w:p>
        </w:tc>
        <w:tc>
          <w:tcPr>
            <w:tcW w:type="dxa" w:w="3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/api/spaceweather/current</w:t>
            </w:r>
          </w:p>
        </w:tc>
        <w:tc>
          <w:tcPr>
            <w:tcW w:type="dxa" w:w="52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Current space weather indices</w:t>
            </w:r>
          </w:p>
        </w:tc>
      </w:tr>
      <w:tr>
        <w:trPr>
          <w:tblHeader w:val="false"/>
        </w:trPr>
        <w:tc>
          <w:tcPr>
            <w:tcW w:type="dxa" w:w="10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w:t>
            </w:r>
          </w:p>
        </w:tc>
        <w:tc>
          <w:tcPr>
            <w:tcW w:type="dxa" w:w="3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/api/spaceweather/history</w:t>
            </w:r>
          </w:p>
        </w:tc>
        <w:tc>
          <w:tcPr>
            <w:tcW w:type="dxa" w:w="52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7-day space weather history</w:t>
            </w:r>
          </w:p>
        </w:tc>
      </w:tr>
      <w:tr>
        <w:trPr>
          <w:tblHeader w:val="false"/>
        </w:trPr>
        <w:tc>
          <w:tcPr>
            <w:tcW w:type="dxa" w:w="10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w:t>
            </w:r>
          </w:p>
        </w:tc>
        <w:tc>
          <w:tcPr>
            <w:tcW w:type="dxa" w:w="35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/health</w:t>
            </w:r>
          </w:p>
        </w:tc>
        <w:tc>
          <w:tcPr>
            <w:tcW w:type="dxa" w:w="52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System health check</w:t>
            </w:r>
          </w:p>
        </w:tc>
      </w:tr>
      <w:tr>
        <w:trPr>
          <w:tblHeader w:val="false"/>
        </w:trPr>
        <w:tc>
          <w:tcPr>
            <w:tcW w:type="dxa" w:w="10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GET</w:t>
            </w:r>
          </w:p>
        </w:tc>
        <w:tc>
          <w:tcPr>
            <w:tcW w:type="dxa" w:w="35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/api/metrics</w:t>
            </w:r>
          </w:p>
        </w:tc>
        <w:tc>
          <w:tcPr>
            <w:tcW w:type="dxa" w:w="52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Prometheus-compatible metrics</w:t>
            </w:r>
          </w:p>
        </w:tc>
      </w:tr>
    </w:tbl>
    <w:p>
      <w:pPr>
        <w:pStyle w:val="Heading1"/>
        <w:pBdr>
          <w:bottom w:val="single" w:color="0097B2" w:sz="8" w:space="4"/>
        </w:pBdr>
        <w:spacing w:after="120" w:before="360"/>
      </w:pPr>
      <w:r>
        <w:rPr>
          <w:rFonts w:ascii="Calibri" w:cs="Calibri" w:eastAsia="Calibri" w:hAnsi="Calibri"/>
          <w:b/>
          <w:bCs/>
          <w:color w:val="0B1F3A"/>
          <w:sz w:val="32"/>
          <w:szCs w:val="32"/>
        </w:rPr>
        <w:t xml:space="preserve">17. Alerts and Notifications</w:t>
      </w:r>
    </w:p>
    <w:p>
      <w:pPr>
        <w:spacing w:after="100" w:before="0" w:line="280"/>
        <w:jc w:val="both"/>
      </w:pPr>
      <w:r>
        <w:rPr>
          <w:rFonts w:ascii="Calibri" w:cs="Calibri" w:eastAsia="Calibri" w:hAnsi="Calibri"/>
          <w:b w:val="false"/>
          <w:bCs w:val="false"/>
          <w:i w:val="false"/>
          <w:iCs w:val="false"/>
          <w:color w:val="1A2332"/>
          <w:sz w:val="20"/>
          <w:szCs w:val="20"/>
        </w:rPr>
        <w:t xml:space="preserve">CAS runs an automated background scanner every hour. When the scanner detects a RED-level conjunction involving one of your watchlist satellites, an email alert is sent to your registered email address.</w:t>
      </w:r>
    </w:p>
    <w:p>
      <w:pPr>
        <w:spacing w:after="100" w:before="0" w:line="280"/>
        <w:jc w:val="both"/>
      </w:pPr>
      <w:r>
        <w:rPr>
          <w:rFonts w:ascii="Calibri" w:cs="Calibri" w:eastAsia="Calibri" w:hAnsi="Calibri"/>
          <w:b w:val="false"/>
          <w:bCs w:val="false"/>
          <w:i w:val="false"/>
          <w:iCs w:val="false"/>
          <w:color w:val="1A2332"/>
          <w:sz w:val="20"/>
          <w:szCs w:val="20"/>
        </w:rPr>
        <w:t xml:space="preserve">You can configure notification preferences in the Settings tab:</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Alert threshold: minimum risk level to trigger email (RED only, or YELLOW + RED).</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Notification frequency: immediate, hourly digest, or daily digest.</w:t>
      </w:r>
    </w:p>
    <w:p>
      <w:pPr>
        <w:pStyle w:val="Heading1"/>
        <w:pBdr>
          <w:bottom w:val="single" w:color="0097B2" w:sz="8" w:space="4"/>
        </w:pBdr>
        <w:spacing w:after="120" w:before="360"/>
      </w:pPr>
      <w:r>
        <w:rPr>
          <w:rFonts w:ascii="Calibri" w:cs="Calibri" w:eastAsia="Calibri" w:hAnsi="Calibri"/>
          <w:b/>
          <w:bCs/>
          <w:color w:val="0B1F3A"/>
          <w:sz w:val="32"/>
          <w:szCs w:val="32"/>
        </w:rPr>
        <w:t xml:space="preserve">18. Data Sources and Refresh Cycles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592"/>
      </w:tblGrid>
      <w:tr>
        <w:trPr>
          <w:tblHeader/>
        </w:trPr>
        <w:tc>
          <w:tcPr>
            <w:tcW w:type="dxa" w:w="28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Data Source</w:t>
            </w:r>
          </w:p>
        </w:tc>
        <w:tc>
          <w:tcPr>
            <w:tcW w:type="dxa" w:w="24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Refresh Cycle</w:t>
            </w:r>
          </w:p>
        </w:tc>
        <w:tc>
          <w:tcPr>
            <w:tcW w:type="dxa" w:w="4592"/>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Notes</w:t>
            </w:r>
          </w:p>
        </w:tc>
      </w:tr>
      <w:tr>
        <w:trPr>
          <w:tblHeader w:val="false"/>
        </w:trPr>
        <w:tc>
          <w:tcPr>
            <w:tcW w:type="dxa" w:w="28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CDM (Conjunction Data Messages)</w:t>
            </w:r>
          </w:p>
        </w:tc>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Hourly</w:t>
            </w:r>
          </w:p>
        </w:tc>
        <w:tc>
          <w:tcPr>
            <w:tcW w:type="dxa" w:w="45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Space-Track cdm_public, automated cron</w:t>
            </w:r>
          </w:p>
        </w:tc>
      </w:tr>
      <w:tr>
        <w:trPr>
          <w:tblHeader w:val="false"/>
        </w:trPr>
        <w:tc>
          <w:tcPr>
            <w:tcW w:type="dxa" w:w="28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TLE (Two-Line Elements)</w:t>
            </w:r>
          </w:p>
        </w:tc>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6 hours (cache)</w:t>
            </w:r>
          </w:p>
        </w:tc>
        <w:tc>
          <w:tcPr>
            <w:tcW w:type="dxa" w:w="45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Multi-source: Celestrak + Space-Track, deduplicated</w:t>
            </w:r>
          </w:p>
        </w:tc>
      </w:tr>
      <w:tr>
        <w:trPr>
          <w:tblHeader w:val="false"/>
        </w:trPr>
        <w:tc>
          <w:tcPr>
            <w:tcW w:type="dxa" w:w="28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EU SST Re-entry events</w:t>
            </w:r>
          </w:p>
        </w:tc>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6 hours (cron)</w:t>
            </w:r>
          </w:p>
        </w:tc>
        <w:tc>
          <w:tcPr>
            <w:tcW w:type="dxa" w:w="45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Re-entry Analysis Service via OAuth2 API</w:t>
            </w:r>
          </w:p>
        </w:tc>
      </w:tr>
      <w:tr>
        <w:trPr>
          <w:tblHeader w:val="false"/>
        </w:trPr>
        <w:tc>
          <w:tcPr>
            <w:tcW w:type="dxa" w:w="28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EU SST Fragmentation events</w:t>
            </w:r>
          </w:p>
        </w:tc>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6 hours (cron)</w:t>
            </w:r>
          </w:p>
        </w:tc>
        <w:tc>
          <w:tcPr>
            <w:tcW w:type="dxa" w:w="45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Fragmentation Analysis Service via OAuth2 API</w:t>
            </w:r>
          </w:p>
        </w:tc>
      </w:tr>
      <w:tr>
        <w:trPr>
          <w:tblHeader w:val="false"/>
        </w:trPr>
        <w:tc>
          <w:tcPr>
            <w:tcW w:type="dxa" w:w="28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Space Weather (NOAA SWPC)</w:t>
            </w:r>
          </w:p>
        </w:tc>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Hourly</w:t>
            </w:r>
          </w:p>
        </w:tc>
        <w:tc>
          <w:tcPr>
            <w:tcW w:type="dxa" w:w="45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Kp, F10.7, X-ray peak, recent NOAA alerts</w:t>
            </w:r>
          </w:p>
        </w:tc>
      </w:tr>
      <w:tr>
        <w:trPr>
          <w:tblHeader w:val="false"/>
        </w:trPr>
        <w:tc>
          <w:tcPr>
            <w:tcW w:type="dxa" w:w="28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Launch schedule</w:t>
            </w:r>
          </w:p>
        </w:tc>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Periodic</w:t>
            </w:r>
          </w:p>
        </w:tc>
        <w:tc>
          <w:tcPr>
            <w:tcW w:type="dxa" w:w="45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Public launch API</w:t>
            </w:r>
          </w:p>
        </w:tc>
      </w:tr>
      <w:tr>
        <w:trPr>
          <w:tblHeader w:val="false"/>
        </w:trPr>
        <w:tc>
          <w:tcPr>
            <w:tcW w:type="dxa" w:w="28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Decision Engine output</w:t>
            </w:r>
          </w:p>
        </w:tc>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On-demand + hourly</w:t>
            </w:r>
          </w:p>
        </w:tc>
        <w:tc>
          <w:tcPr>
            <w:tcW w:type="dxa" w:w="45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Triggered by user or background scanner</w:t>
            </w:r>
          </w:p>
        </w:tc>
      </w:tr>
      <w:tr>
        <w:trPr>
          <w:tblHeader w:val="false"/>
        </w:trPr>
        <w:tc>
          <w:tcPr>
            <w:tcW w:type="dxa" w:w="28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Pc Trends</w:t>
            </w:r>
          </w:p>
        </w:tc>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On-demand</w:t>
            </w:r>
          </w:p>
        </w:tc>
        <w:tc>
          <w:tcPr>
            <w:tcW w:type="dxa" w:w="45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72-hour rolling window from CDM history</w:t>
            </w:r>
          </w:p>
        </w:tc>
      </w:tr>
    </w:tbl>
    <w:p>
      <w:pPr>
        <w:pStyle w:val="Heading1"/>
        <w:pBdr>
          <w:bottom w:val="single" w:color="0097B2" w:sz="8" w:space="4"/>
        </w:pBdr>
        <w:spacing w:after="120" w:before="360"/>
      </w:pPr>
      <w:r>
        <w:rPr>
          <w:rFonts w:ascii="Calibri" w:cs="Calibri" w:eastAsia="Calibri" w:hAnsi="Calibri"/>
          <w:b/>
          <w:bCs/>
          <w:color w:val="0B1F3A"/>
          <w:sz w:val="32"/>
          <w:szCs w:val="32"/>
        </w:rPr>
        <w:t xml:space="preserve">19. Settings</w:t>
      </w:r>
    </w:p>
    <w:p>
      <w:pPr>
        <w:spacing w:after="100" w:before="0" w:line="280"/>
        <w:jc w:val="both"/>
      </w:pPr>
      <w:r>
        <w:rPr>
          <w:rFonts w:ascii="Calibri" w:cs="Calibri" w:eastAsia="Calibri" w:hAnsi="Calibri"/>
          <w:b w:val="false"/>
          <w:bCs w:val="false"/>
          <w:i w:val="false"/>
          <w:iCs w:val="false"/>
          <w:color w:val="1A2332"/>
          <w:sz w:val="20"/>
          <w:szCs w:val="20"/>
        </w:rPr>
        <w:t xml:space="preserve">The Settings tab provides: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Email alert toggle and minimum severity selector (RED only by default).</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Password change (minimum 6 characters).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Confidence guidance playbook — operator instructions for handling LOW / MEDIUM / HIGH confidence ratings while real covariance calibration is pending.</w:t>
      </w:r>
    </w:p>
    <w:p>
      <w:pPr>
        <w:pStyle w:val="Heading1"/>
        <w:pBdr>
          <w:bottom w:val="single" w:color="0097B2" w:sz="8" w:space="4"/>
        </w:pBdr>
        <w:spacing w:after="120" w:before="360"/>
      </w:pPr>
      <w:r>
        <w:rPr>
          <w:rFonts w:ascii="Calibri" w:cs="Calibri" w:eastAsia="Calibri" w:hAnsi="Calibri"/>
          <w:b/>
          <w:bCs/>
          <w:color w:val="0B1F3A"/>
          <w:sz w:val="32"/>
          <w:szCs w:val="32"/>
        </w:rPr>
        <w:t xml:space="preserve">20. Glossary</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00"/>
        <w:gridCol w:w="7392"/>
      </w:tblGrid>
      <w:tr>
        <w:trPr>
          <w:tblHeader/>
        </w:trPr>
        <w:tc>
          <w:tcPr>
            <w:tcW w:type="dxa" w:w="2400"/>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Term</w:t>
            </w:r>
          </w:p>
        </w:tc>
        <w:tc>
          <w:tcPr>
            <w:tcW w:type="dxa" w:w="7392"/>
            <w:tcBorders>
              <w:top w:val="single" w:color="D5DDE8" w:sz="4"/>
              <w:left w:val="single" w:color="D5DDE8" w:sz="4"/>
              <w:bottom w:val="single" w:color="D5DDE8" w:sz="4"/>
              <w:right w:val="single" w:color="D5DDE8" w:sz="4"/>
            </w:tcBorders>
            <w:shd w:fill="F0F4F9" w:val="clear"/>
            <w:tcMar>
              <w:top w:type="dxa" w:w="70"/>
              <w:left w:type="dxa" w:w="110"/>
              <w:bottom w:type="dxa" w:w="70"/>
              <w:right w:type="dxa" w:w="110"/>
            </w:tcMar>
          </w:tcPr>
          <w:p>
            <w:pPr>
              <w:spacing w:after="0" w:before="0" w:line="240"/>
            </w:pPr>
            <w:r>
              <w:rPr>
                <w:rFonts w:ascii="Calibri" w:cs="Calibri" w:eastAsia="Calibri" w:hAnsi="Calibri"/>
                <w:b/>
                <w:bCs/>
                <w:color w:val="0B1F3A"/>
                <w:sz w:val="18"/>
                <w:szCs w:val="18"/>
              </w:rPr>
              <w:t xml:space="preserve">Definition</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CDM</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Conjunction Data Message — standardized format for close-approach predictions, published by US Space Command via Space-Track.</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TCA</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Time of Closest Approach — the predicted moment when two objects pass closest to each other.</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Pc</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Probability of Collision — statistical estimate of the likelihood that two objects will collide at TCA.</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Miss Distance</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Predicted minimum separation between two objects at TCA, in meters.</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TLE</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Two-Line Element set — standardized format describing an object's orbit, used for position prediction.</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NORAD ID</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Five-digit catalog number assigned to each tracked space object by the 18th Space Defense Squadron.</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LEO</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Low Earth Orbit — altitudes from approximately 200 km to 2,000 km above Earth's surface.</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VLEO</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Very Low Earth Orbit — altitudes below approximately 450 km, dominated by atmospheric drag.</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HBR</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Hard Body Radius — combined physical size of two objects, used in Pc computation (default: 10 m).</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σ (sigma)</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Position uncertainty — combined standard deviation of both objects' predicted positions (CAS default: 100 m).</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SSA</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Space Situational Awareness — the knowledge and characterization of the space environment.</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ECSS</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European Cooperation for Space Standardization — framework for space engineering standards.</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TRL</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Technology Readiness Level — scale from 1–9 measuring technology maturity.</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Foster-Chan</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Analytical technique (1992) for computing collision probability via Bessel-function integration.</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Cascade Analysis</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Assessment of whether a proposed maneuver creates new collision risks with other objects.</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ΔV</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Delta-V — velocity change required for a maneuver, in meters per second.</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EU SST</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European Space Surveillance and Tracking — EU-operated SSA service providing re-entry and fragmentation data.</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NOAA SWPC</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NOAA Space Weather Prediction Center — public source for geomagnetic and solar indices.</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ASAT</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Anti-Satellite test — deliberate destruction of a satellite, creating large debris fields.</w:t>
            </w:r>
          </w:p>
        </w:tc>
      </w:tr>
      <w:tr>
        <w:trPr>
          <w:tblHeader w:val="false"/>
        </w:trPr>
        <w:tc>
          <w:tcPr>
            <w:tcW w:type="dxa" w:w="2400"/>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Kp</w:t>
            </w:r>
          </w:p>
        </w:tc>
        <w:tc>
          <w:tcPr>
            <w:tcW w:type="dxa" w:w="7392"/>
            <w:tcBorders>
              <w:top w:val="single" w:color="D5DDE8" w:sz="4"/>
              <w:left w:val="single" w:color="D5DDE8" w:sz="4"/>
              <w:bottom w:val="single" w:color="D5DDE8" w:sz="4"/>
              <w:right w:val="single" w:color="D5DDE8" w:sz="4"/>
            </w:tcBorders>
            <w:shd w:fill="FFFFFF"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Geomagnetic activity index, 0–9 scale. Kp ≥ 5 indicates a geomagnetic storm.</w:t>
            </w:r>
          </w:p>
        </w:tc>
      </w:tr>
      <w:tr>
        <w:trPr>
          <w:tblHeader w:val="false"/>
        </w:trPr>
        <w:tc>
          <w:tcPr>
            <w:tcW w:type="dxa" w:w="2400"/>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F10.7</w:t>
            </w:r>
          </w:p>
        </w:tc>
        <w:tc>
          <w:tcPr>
            <w:tcW w:type="dxa" w:w="7392"/>
            <w:tcBorders>
              <w:top w:val="single" w:color="D5DDE8" w:sz="4"/>
              <w:left w:val="single" w:color="D5DDE8" w:sz="4"/>
              <w:bottom w:val="single" w:color="D5DDE8" w:sz="4"/>
              <w:right w:val="single" w:color="D5DDE8" w:sz="4"/>
            </w:tcBorders>
            <w:shd w:fill="F8FAFC" w:val="clear"/>
            <w:tcMar>
              <w:top w:type="dxa" w:w="70"/>
              <w:left w:type="dxa" w:w="110"/>
              <w:bottom w:type="dxa" w:w="70"/>
              <w:right w:type="dxa" w:w="110"/>
            </w:tcMar>
          </w:tcPr>
          <w:p>
            <w:pPr>
              <w:spacing w:after="0" w:before="0" w:line="240"/>
            </w:pPr>
            <w:r>
              <w:rPr>
                <w:rFonts w:ascii="Calibri" w:cs="Calibri" w:eastAsia="Calibri" w:hAnsi="Calibri"/>
                <w:b w:val="false"/>
                <w:bCs w:val="false"/>
                <w:color w:val="1A2332"/>
                <w:sz w:val="18"/>
                <w:szCs w:val="18"/>
              </w:rPr>
              <w:t xml:space="preserve">Solar radio flux at 10.7 cm wavelength; proxy for solar UV/EUV output and atmospheric density.</w:t>
            </w:r>
          </w:p>
        </w:tc>
      </w:tr>
    </w:tbl>
    <w:p>
      <w:pPr>
        <w:pStyle w:val="Heading1"/>
        <w:pBdr>
          <w:bottom w:val="single" w:color="0097B2" w:sz="8" w:space="4"/>
        </w:pBdr>
        <w:spacing w:after="120" w:before="360"/>
      </w:pPr>
      <w:r>
        <w:rPr>
          <w:rFonts w:ascii="Calibri" w:cs="Calibri" w:eastAsia="Calibri" w:hAnsi="Calibri"/>
          <w:b/>
          <w:bCs/>
          <w:color w:val="0B1F3A"/>
          <w:sz w:val="32"/>
          <w:szCs w:val="32"/>
        </w:rPr>
        <w:t xml:space="preserve">21. Support and Contact</w:t>
      </w:r>
    </w:p>
    <w:p>
      <w:pPr>
        <w:spacing w:after="100" w:before="0" w:line="280"/>
        <w:jc w:val="both"/>
      </w:pPr>
      <w:r>
        <w:rPr>
          <w:rFonts w:ascii="Calibri" w:cs="Calibri" w:eastAsia="Calibri" w:hAnsi="Calibri"/>
          <w:b w:val="false"/>
          <w:bCs w:val="false"/>
          <w:i w:val="false"/>
          <w:iCs w:val="false"/>
          <w:color w:val="1A2332"/>
          <w:sz w:val="20"/>
          <w:szCs w:val="20"/>
        </w:rPr>
        <w:t xml:space="preserve">For technical support, feature requests, or operational questions:</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Email: mustafa@casplatform.com</w:t>
      </w:r>
    </w:p>
    <w:p>
      <w:pPr>
        <w:pStyle w:val="ListParagraph"/>
        <w:numPr>
          <w:ilvl w:val="0"/>
          <w:numId w:val="2"/>
        </w:numPr>
        <w:spacing w:after="50" w:before="0" w:line="260"/>
      </w:pPr>
      <w:r>
        <w:rPr>
          <w:rFonts w:ascii="Calibri" w:cs="Calibri" w:eastAsia="Calibri" w:hAnsi="Calibri"/>
          <w:b w:val="false"/>
          <w:bCs w:val="false"/>
          <w:i w:val="false"/>
          <w:iCs w:val="false"/>
          <w:color w:val="1A2332"/>
          <w:sz w:val="20"/>
          <w:szCs w:val="20"/>
        </w:rPr>
        <w:t xml:space="preserve">Web: casplatform.com</w:t>
      </w:r>
    </w:p>
    <w:p>
      <w:pPr>
        <w:spacing w:after="80" w:before="30" w:line="240"/>
      </w:pPr>
      <w:r>
        <w:rPr>
          <w:rFonts w:ascii="Calibri" w:cs="Calibri" w:eastAsia="Calibri" w:hAnsi="Calibri"/>
          <w:i/>
          <w:iCs/>
          <w:color w:val="5A6E84"/>
          <w:sz w:val="16"/>
          <w:szCs w:val="16"/>
        </w:rPr>
        <w:t xml:space="preserve">CAS is developed and operated as an independent European conjunction decision support platform. All derived analysis is processed within the European Union. Raw observational data is sourced from publicly accessible international providers under their respective access terms.</w:t>
      </w:r>
    </w:p>
    <w:p>
      <w:pPr>
        <w:spacing w:after="120" w:before="0" w:line="200"/>
      </w:pPr>
      <w:r>
        <w:t xml:space="preserve"/>
      </w:r>
    </w:p>
    <w:p>
      <w:pPr>
        <w:spacing w:after="0" w:before="200"/>
        <w:jc w:val="center"/>
      </w:pPr>
      <w:r>
        <w:rPr>
          <w:rFonts w:ascii="Calibri" w:cs="Calibri" w:eastAsia="Calibri" w:hAnsi="Calibri"/>
          <w:i/>
          <w:iCs/>
          <w:color w:val="5A6E84"/>
          <w:sz w:val="18"/>
          <w:szCs w:val="18"/>
        </w:rPr>
        <w:t xml:space="preserve">— End of User Guide —</w:t>
      </w:r>
    </w:p>
    <w:sectPr>
      <w:headerReference w:type="default" r:id="rId7"/>
      <w:footerReference w:type="default" r:id="rId8"/>
      <w:pgSz w:w="12240" w:h="15840" w:orient="portrait"/>
      <w:pgMar w:top="1080" w:right="1224" w:bottom="1080"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DE8" w:sz="4" w:space="4"/>
      </w:pBdr>
      <w:tabs>
        <w:tab w:val="right" w:pos="9792"/>
      </w:tabs>
      <w:spacing w:after="0" w:before="60"/>
    </w:pPr>
    <w:r>
      <w:rPr>
        <w:rFonts w:ascii="Consolas" w:cs="Consolas" w:eastAsia="Consolas" w:hAnsi="Consolas"/>
        <w:color w:val="5A6E84"/>
        <w:sz w:val="16"/>
        <w:szCs w:val="16"/>
      </w:rPr>
      <w:t xml:space="preserve">casplatform.com</w:t>
    </w:r>
    <w:r>
      <w:rPr>
        <w:rFonts w:ascii="Calibri" w:cs="Calibri" w:eastAsia="Calibri" w:hAnsi="Calibri"/>
        <w:sz w:val="16"/>
        <w:szCs w:val="16"/>
      </w:rPr>
      <w:t xml:space="preserve">	</w:t>
    </w:r>
    <w:r>
      <w:rPr>
        <w:rFonts w:ascii="Calibri" w:cs="Calibri" w:eastAsia="Calibri" w:hAnsi="Calibri"/>
        <w:color w:val="5A6E84"/>
        <w:sz w:val="16"/>
        <w:szCs w:val="16"/>
      </w:rPr>
      <w:t xml:space="preserve">Page </w:t>
    </w:r>
    <w:r>
      <w:rPr>
        <w:rFonts w:ascii="Calibri" w:cs="Calibri" w:eastAsia="Calibri" w:hAnsi="Calibri"/>
        <w:color w:val="5A6E84"/>
        <w:sz w:val="16"/>
        <w:szCs w:val="16"/>
      </w:rPr>
      <w:fldChar w:fldCharType="begin"/>
      <w:instrText xml:space="preserve">PAGE</w:instrText>
      <w:fldChar w:fldCharType="separate"/>
      <w:fldChar w:fldCharType="end"/>
    </w:r>
    <w:r>
      <w:rPr>
        <w:rFonts w:ascii="Calibri" w:cs="Calibri" w:eastAsia="Calibri" w:hAnsi="Calibri"/>
        <w:color w:val="5A6E84"/>
        <w:sz w:val="16"/>
        <w:szCs w:val="16"/>
      </w:rPr>
      <w:t xml:space="preserve"> of </w:t>
    </w:r>
    <w:r>
      <w:rPr>
        <w:rFonts w:ascii="Calibri" w:cs="Calibri" w:eastAsia="Calibri" w:hAnsi="Calibri"/>
        <w:color w:val="5A6E8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DE8" w:sz="4" w:space="4"/>
      </w:pBdr>
      <w:tabs>
        <w:tab w:val="right" w:pos="9792"/>
      </w:tabs>
      <w:spacing w:after="60" w:before="0"/>
    </w:pPr>
    <w:r>
      <w:rPr>
        <w:rFonts w:ascii="Calibri" w:cs="Calibri" w:eastAsia="Calibri" w:hAnsi="Calibri"/>
        <w:b/>
        <w:bCs/>
        <w:color w:val="0B1F3A"/>
        <w:spacing w:val="30"/>
        <w:sz w:val="16"/>
        <w:szCs w:val="16"/>
      </w:rPr>
      <w:t xml:space="preserve">CAS PLATFORM</w:t>
    </w:r>
    <w:r>
      <w:rPr>
        <w:rFonts w:ascii="Calibri" w:cs="Calibri" w:eastAsia="Calibri" w:hAnsi="Calibri"/>
        <w:color w:val="5A6E84"/>
        <w:sz w:val="16"/>
        <w:szCs w:val="16"/>
      </w:rPr>
      <w:t xml:space="preserve">  ·  </w:t>
    </w:r>
    <w:r>
      <w:rPr>
        <w:rFonts w:ascii="Calibri" w:cs="Calibri" w:eastAsia="Calibri" w:hAnsi="Calibri"/>
        <w:color w:val="5A6E84"/>
        <w:sz w:val="16"/>
        <w:szCs w:val="16"/>
      </w:rPr>
      <w:t xml:space="preserve">CAS Platform — Operator User Guide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B1F3A"/>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52D52"/>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1A23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 Platform — Operator User Guide v1.1</dc:title>
  <dc:creator>CAS Platform</dc:creator>
  <dc:description>CAS Platform — Operator User Guide v1.1</dc:description>
  <cp:lastModifiedBy>Un-named</cp:lastModifiedBy>
  <cp:revision>1</cp:revision>
  <dcterms:created xsi:type="dcterms:W3CDTF">2026-04-26T05:32:53.189Z</dcterms:created>
  <dcterms:modified xsi:type="dcterms:W3CDTF">2026-04-26T05:32:53.190Z</dcterms:modified>
</cp:coreProperties>
</file>

<file path=docProps/custom.xml><?xml version="1.0" encoding="utf-8"?>
<Properties xmlns="http://schemas.openxmlformats.org/officeDocument/2006/custom-properties" xmlns:vt="http://schemas.openxmlformats.org/officeDocument/2006/docPropsVTypes"/>
</file>