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onsolas" w:cs="Consolas" w:eastAsia="Consolas" w:hAnsi="Consolas"/>
          <w:b/>
          <w:bCs/>
          <w:color w:val="0097B2"/>
          <w:spacing w:val="60"/>
          <w:sz w:val="24"/>
          <w:szCs w:val="24"/>
        </w:rPr>
        <w:t xml:space="preserve">CAS PLATFORM</w:t>
      </w:r>
    </w:p>
    <w:p>
      <w:pPr>
        <w:pBdr>
          <w:bottom w:val="single" w:color="0B1F3A" w:sz="18" w:space="8"/>
        </w:pBdr>
        <w:spacing w:after="40" w:before="0"/>
      </w:pPr>
      <w:r>
        <w:rPr>
          <w:rFonts w:ascii="Consolas" w:cs="Consolas" w:eastAsia="Consolas" w:hAnsi="Consolas"/>
          <w:color w:val="5A7A94"/>
          <w:spacing w:val="30"/>
          <w:sz w:val="16"/>
          <w:szCs w:val="16"/>
        </w:rPr>
        <w:t xml:space="preserve">CONJUNCTION DECISION SUPPORT</w:t>
      </w:r>
    </w:p>
    <w:p>
      <w:pPr>
        <w:spacing w:after="1400"/>
      </w:pPr>
      <w:r>
        <w:t xml:space="preserve"/>
      </w:r>
    </w:p>
    <w:p>
      <w:pPr>
        <w:spacing w:after="80"/>
      </w:pPr>
      <w:r>
        <w:rPr>
          <w:rFonts w:ascii="Consolas" w:cs="Consolas" w:eastAsia="Consolas" w:hAnsi="Consolas"/>
          <w:b/>
          <w:bCs/>
          <w:color w:val="0097B2"/>
          <w:spacing w:val="40"/>
          <w:sz w:val="20"/>
          <w:szCs w:val="20"/>
        </w:rPr>
        <w:t xml:space="preserve">OPERATOR USER GUIDE</w:t>
      </w:r>
    </w:p>
    <w:p>
      <w:pPr>
        <w:spacing w:after="60"/>
      </w:pPr>
      <w:r>
        <w:rPr>
          <w:b/>
          <w:bCs/>
          <w:color w:val="0B1F3A"/>
          <w:sz w:val="52"/>
          <w:szCs w:val="52"/>
        </w:rPr>
        <w:t xml:space="preserve">Operator User Guide</w:t>
      </w:r>
    </w:p>
    <w:p>
      <w:pPr>
        <w:spacing w:after="0"/>
      </w:pPr>
      <w:r>
        <w:rPr>
          <w:color w:val="5A7A94"/>
          <w:sz w:val="26"/>
          <w:szCs w:val="26"/>
        </w:rPr>
        <w:t xml:space="preserve">CAS Platform · Independent European Conjunction Decision Support</w:t>
      </w:r>
    </w:p>
    <w:p>
      <w:pPr>
        <w:spacing w:after="1600"/>
      </w:pPr>
      <w:r>
        <w:t xml:space="preserve"/>
      </w:r>
    </w:p>
    <w:tbl>
      <w:tblPr>
        <w:tblW w:type="dxa" w:w="9360"/>
        <w:tblBorders>
          <w:top w:val="single" w:color="0097B2" w:sz="4"/>
          <w:left w:val="none"/>
          <w:bottom w:val="single" w:color="0097B2" w:sz="4"/>
          <w:right w:val="none"/>
          <w:insideH w:val="none"/>
          <w:insideV w:val="single" w:color="C9D6E0" w:sz="2"/>
        </w:tblBorders>
      </w:tblPr>
      <w:tblGrid>
        <w:gridCol w:w="2340"/>
        <w:gridCol w:w="2340"/>
        <w:gridCol w:w="2340"/>
        <w:gridCol w:w="2340"/>
      </w:tblGrid>
      <w:tr>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VERSION
</w:t>
            </w:r>
            <w:r>
              <w:br/>
              <w:t xml:space="preserve"/>
            </w:r>
            <w:r>
              <w:rPr>
                <w:b/>
                <w:bCs/>
                <w:color w:val="0B1F3A"/>
                <w:sz w:val="20"/>
                <w:szCs w:val="20"/>
              </w:rPr>
              <w:t xml:space="preserve">2.0</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DATE
</w:t>
            </w:r>
            <w:r>
              <w:br/>
              <w:t xml:space="preserve"/>
            </w:r>
            <w:r>
              <w:rPr>
                <w:b/>
                <w:bCs/>
                <w:color w:val="0B1F3A"/>
                <w:sz w:val="20"/>
                <w:szCs w:val="20"/>
              </w:rPr>
              <w:t xml:space="preserve">June 2026</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MATURITY
</w:t>
            </w:r>
            <w:r>
              <w:br/>
              <w:t xml:space="preserve"/>
            </w:r>
            <w:r>
              <w:rPr>
                <w:b/>
                <w:bCs/>
                <w:color w:val="0B1F3A"/>
                <w:sz w:val="20"/>
                <w:szCs w:val="20"/>
              </w:rPr>
              <w:t xml:space="preserve">TRL 5</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STATUS
</w:t>
            </w:r>
            <w:r>
              <w:br/>
              <w:t xml:space="preserve"/>
            </w:r>
            <w:r>
              <w:rPr>
                <w:b/>
                <w:bCs/>
                <w:color w:val="0B1F3A"/>
                <w:sz w:val="20"/>
                <w:szCs w:val="20"/>
              </w:rPr>
              <w:t xml:space="preserve">PUBLIC</w:t>
            </w:r>
          </w:p>
        </w:tc>
      </w:tr>
    </w:tbl>
    <w:p>
      <w:pPr>
        <w:spacing w:after="300"/>
      </w:pPr>
      <w:r>
        <w:t xml:space="preserve"/>
      </w:r>
    </w:p>
    <w:p>
      <w:pPr>
        <w:spacing w:after="0"/>
      </w:pPr>
      <w:r>
        <w:rPr>
          <w:rFonts w:ascii="Consolas" w:cs="Consolas" w:eastAsia="Consolas" w:hAnsi="Consolas"/>
          <w:color w:val="5A7A94"/>
          <w:sz w:val="16"/>
          <w:szCs w:val="16"/>
        </w:rPr>
        <w:t xml:space="preserve">Document ID  </w:t>
      </w:r>
      <w:r>
        <w:rPr>
          <w:rFonts w:ascii="Consolas" w:cs="Consolas" w:eastAsia="Consolas" w:hAnsi="Consolas"/>
          <w:b/>
          <w:bCs/>
          <w:color w:val="13294B"/>
          <w:sz w:val="16"/>
          <w:szCs w:val="16"/>
        </w:rPr>
        <w:t xml:space="preserve">CAS-UG-002    </w:t>
      </w:r>
      <w:r>
        <w:rPr>
          <w:rFonts w:ascii="Consolas" w:cs="Consolas" w:eastAsia="Consolas" w:hAnsi="Consolas"/>
          <w:color w:val="5A7A94"/>
          <w:sz w:val="16"/>
          <w:szCs w:val="16"/>
        </w:rPr>
        <w:t xml:space="preserve">Standard  </w:t>
      </w:r>
      <w:r>
        <w:rPr>
          <w:rFonts w:ascii="Consolas" w:cs="Consolas" w:eastAsia="Consolas" w:hAnsi="Consolas"/>
          <w:b/>
          <w:bCs/>
          <w:color w:val="13294B"/>
          <w:sz w:val="16"/>
          <w:szCs w:val="16"/>
        </w:rPr>
        <w:t xml:space="preserve">—</w:t>
      </w:r>
    </w:p>
    <w:p>
      <w:pPr>
        <w:spacing w:after="2600"/>
      </w:pPr>
      <w:r>
        <w:t xml:space="preserve"/>
      </w:r>
    </w:p>
    <w:p>
      <w:pPr>
        <w:pBdr>
          <w:top w:val="single" w:color="0097B2" w:sz="8" w:space="8"/>
        </w:pBdr>
        <w:spacing w:after="0"/>
        <w:jc w:val="center"/>
      </w:pPr>
      <w:r>
        <w:rPr>
          <w:rFonts w:ascii="Consolas" w:cs="Consolas" w:eastAsia="Consolas" w:hAnsi="Consolas"/>
          <w:b/>
          <w:bCs/>
          <w:color w:val="0097B2"/>
          <w:sz w:val="18"/>
          <w:szCs w:val="18"/>
        </w:rPr>
        <w:t xml:space="preserve">casplatform.com</w:t>
      </w:r>
    </w:p>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120" w:line="264"/>
      </w:pPr>
      <w:r>
        <w:rPr>
          <w:rFonts w:ascii="Arial" w:cs="Arial" w:eastAsia="Arial" w:hAnsi="Arial"/>
          <w:color w:val="1A2332"/>
          <w:sz w:val="20"/>
          <w:szCs w:val="20"/>
        </w:rPr>
        <w:t xml:space="preserve">CAS (Conjunction Decision Support) is a web-based platform that helps LEO and VLEO satellite operators manage conjunction events — situations where two objects in orbit pass dangerously close to each other. This guide covers every feature of the CAS Operator Portal: what each screen shows, what the numbers mean, and what actions to take. It is written for satellite operators, mission analysts, and flight dynamics engineers.</w:t>
      </w:r>
    </w:p>
    <w:p>
      <w:pPr>
        <w:pStyle w:val="Heading2"/>
      </w:pPr>
      <w:r>
        <w:t xml:space="preserve">1.1 What CAS Does</w:t>
      </w:r>
    </w:p>
    <w:p>
      <w:pPr>
        <w:spacing w:after="120" w:line="264"/>
      </w:pPr>
      <w:r>
        <w:rPr>
          <w:rFonts w:ascii="Arial" w:cs="Arial" w:eastAsia="Arial" w:hAnsi="Arial"/>
          <w:color w:val="1A2332"/>
          <w:sz w:val="20"/>
          <w:szCs w:val="20"/>
        </w:rPr>
        <w:t xml:space="preserve">CAS ingests Conjunction Data Messages (CDMs) from Space-Track (18th SDS), cross-references EU SST re-entry and fragmentation feeds, and produces actionable decision support. The Decision Engine, 72-hour Trend Analysis, Cascade Analysis, VLEO drag-aware tools, an ML Layer 1 triage signal, and Space Weather context are integrated into a single operator workflow.</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WHAT CAS IS — AND IS NOT</w:t>
            </w:r>
          </w:p>
          <w:p>
            <w:pPr>
              <w:spacing w:after="40" w:line="252"/>
            </w:pPr>
            <w:r>
              <w:rPr>
                <w:rFonts w:ascii="Arial" w:cs="Arial" w:eastAsia="Arial" w:hAnsi="Arial"/>
                <w:b/>
                <w:bCs/>
                <w:color w:val="1A7F4B"/>
                <w:sz w:val="20"/>
                <w:szCs w:val="20"/>
              </w:rPr>
              <w:t xml:space="preserve">IS: </w:t>
            </w:r>
            <w:r>
              <w:rPr>
                <w:rFonts w:ascii="Arial" w:cs="Arial" w:eastAsia="Arial" w:hAnsi="Arial"/>
                <w:color w:val="1A2332"/>
                <w:sz w:val="20"/>
                <w:szCs w:val="20"/>
              </w:rPr>
              <w:t xml:space="preserve">a decision-support layer that helps you decide.</w:t>
            </w:r>
          </w:p>
          <w:p>
            <w:pPr>
              <w:spacing w:after="40" w:line="252"/>
            </w:pPr>
            <w:r>
              <w:rPr>
                <w:rFonts w:ascii="Arial" w:cs="Arial" w:eastAsia="Arial" w:hAnsi="Arial"/>
                <w:b/>
                <w:bCs/>
                <w:color w:val="B26A00"/>
                <w:sz w:val="20"/>
                <w:szCs w:val="20"/>
              </w:rPr>
              <w:t xml:space="preserve">IS NOT: </w:t>
            </w:r>
            <w:r>
              <w:rPr>
                <w:rFonts w:ascii="Arial" w:cs="Arial" w:eastAsia="Arial" w:hAnsi="Arial"/>
                <w:color w:val="1A2332"/>
                <w:sz w:val="20"/>
                <w:szCs w:val="20"/>
              </w:rPr>
              <w:t xml:space="preserve">CAS does not execute maneuvers, does not replace Space-Track / EU SST / any SSA provider, does not guarantee absolute Pc (see §9), and is not certified for autonomous decision-making. All outputs are advisory.</w:t>
            </w:r>
          </w:p>
        </w:tc>
      </w:tr>
    </w:tbl>
    <w:p>
      <w:pPr>
        <w:pStyle w:val="Heading2"/>
      </w:pPr>
      <w:r>
        <w:t xml:space="preserve">1.2 New in This Release</w:t>
      </w:r>
    </w:p>
    <w:p>
      <w:pPr>
        <w:spacing w:after="120" w:line="264"/>
      </w:pPr>
      <w:r>
        <w:rPr>
          <w:rFonts w:ascii="Arial" w:cs="Arial" w:eastAsia="Arial" w:hAnsi="Arial"/>
          <w:color w:val="1A2332"/>
          <w:sz w:val="20"/>
          <w:szCs w:val="20"/>
        </w:rPr>
        <w:t xml:space="preserve">Since the previous guide, two major capabilities have been delivered:</w:t>
      </w:r>
    </w:p>
    <w:p>
      <w:pPr>
        <w:pStyle w:val="ListParagraph"/>
        <w:numPr>
          <w:ilvl w:val="0"/>
          <w:numId w:val="2"/>
        </w:numPr>
        <w:spacing w:after="60" w:line="260"/>
      </w:pPr>
      <w:r>
        <w:rPr>
          <w:rFonts w:ascii="Arial" w:cs="Arial" w:eastAsia="Arial" w:hAnsi="Arial"/>
          <w:b/>
          <w:bCs/>
          <w:color w:val="1A2332"/>
          <w:sz w:val="20"/>
          <w:szCs w:val="20"/>
        </w:rPr>
        <w:t xml:space="preserve">VLEO drag-aware decision layer (Phases 1–3): </w:t>
      </w:r>
      <w:r>
        <w:rPr>
          <w:rFonts w:ascii="Arial" w:cs="Arial" w:eastAsia="Arial" w:hAnsi="Arial"/>
          <w:color w:val="1A2332"/>
          <w:sz w:val="20"/>
          <w:szCs w:val="20"/>
        </w:rPr>
        <w:t xml:space="preserve">regime detection, drag-aware uncertainty and ΔV forecasting, station-keeping simulation, fragmentation cascade (self-cleaning timeline), and a maneuver fuel trade-space. Activates automatically below ~450 km. See §6.</w:t>
      </w:r>
    </w:p>
    <w:p>
      <w:pPr>
        <w:pStyle w:val="ListParagraph"/>
        <w:numPr>
          <w:ilvl w:val="0"/>
          <w:numId w:val="2"/>
        </w:numPr>
        <w:spacing w:after="60" w:line="260"/>
      </w:pPr>
      <w:r>
        <w:rPr>
          <w:rFonts w:ascii="Arial" w:cs="Arial" w:eastAsia="Arial" w:hAnsi="Arial"/>
          <w:b/>
          <w:bCs/>
          <w:color w:val="1A2332"/>
          <w:sz w:val="20"/>
          <w:szCs w:val="20"/>
        </w:rPr>
        <w:t xml:space="preserve">ML Layer 1 triage: </w:t>
      </w:r>
      <w:r>
        <w:rPr>
          <w:rFonts w:ascii="Arial" w:cs="Arial" w:eastAsia="Arial" w:hAnsi="Arial"/>
          <w:color w:val="1A2332"/>
          <w:sz w:val="20"/>
          <w:szCs w:val="20"/>
        </w:rPr>
        <w:t xml:space="preserve">a calibrated machine-learning false-positive triage signal with SHAP explainability that defers to the deterministic Pc funnel when data is sparse. See §7.</w:t>
      </w:r>
    </w:p>
    <w:p>
      <w:pPr>
        <w:pStyle w:val="Heading1"/>
      </w:pPr>
      <w:r>
        <w:t xml:space="preserve">2. Getting Started</w:t>
      </w:r>
    </w:p>
    <w:p>
      <w:pPr>
        <w:spacing w:after="120" w:line="264"/>
      </w:pPr>
      <w:r>
        <w:rPr>
          <w:rFonts w:ascii="Arial" w:cs="Arial" w:eastAsia="Arial" w:hAnsi="Arial"/>
          <w:color w:val="1A2332"/>
          <w:sz w:val="20"/>
          <w:szCs w:val="20"/>
        </w:rPr>
        <w:t xml:space="preserve">Navigate to casplatform.com and click ‘Operator Login’. New users select ‘Create Account’, enter email, name, and password, and receive a verification email. Click the link to activate; portal features are gated until verification completes. During beta, all accounts start on the Free tier; upgrades are arranged via direct contact.</w:t>
      </w:r>
    </w:p>
    <w:p>
      <w:pPr>
        <w:pStyle w:val="Heading2"/>
      </w:pPr>
      <w:r>
        <w:t xml:space="preserve">2.1 Account Tiers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700"/>
        <w:gridCol w:w="1800"/>
        <w:gridCol w:w="2160"/>
        <w:gridCol w:w="2300"/>
        <w:gridCol w:w="1400"/>
      </w:tblGrid>
      <w:tr>
        <w:trPr>
          <w:tblHeader/>
        </w:trPr>
        <w:tc>
          <w:tcPr>
            <w:tcW w:type="dxa" w:w="1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Tier</w:t>
            </w:r>
          </w:p>
        </w:tc>
        <w:tc>
          <w:tcPr>
            <w:tcW w:type="dxa" w:w="18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Satellites</w:t>
            </w:r>
          </w:p>
        </w:tc>
        <w:tc>
          <w:tcPr>
            <w:tcW w:type="dxa" w:w="2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Data</w:t>
            </w:r>
          </w:p>
        </w:tc>
        <w:tc>
          <w:tcPr>
            <w:tcW w:type="dxa" w:w="2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Decision Engine</w:t>
            </w:r>
          </w:p>
        </w:tc>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Price</w:t>
            </w:r>
          </w:p>
        </w:tc>
      </w:tr>
      <w:tr>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Free</w:t>
            </w:r>
          </w:p>
        </w:tc>
        <w:tc>
          <w:tcPr>
            <w:tcW w:type="dxa" w:w="1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w:t>
            </w:r>
          </w:p>
        </w:tc>
        <w:tc>
          <w:tcPr>
            <w:tcW w:type="dxa" w:w="2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Delayed</w:t>
            </w:r>
          </w:p>
        </w:tc>
        <w:tc>
          <w:tcPr>
            <w:tcW w:type="dxa" w:w="2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Basic</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w:t>
            </w:r>
          </w:p>
        </w:tc>
      </w:tr>
      <w:tr>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Starter</w:t>
            </w:r>
          </w:p>
        </w:tc>
        <w:tc>
          <w:tcPr>
            <w:tcW w:type="dxa" w:w="1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w:t>
            </w:r>
          </w:p>
        </w:tc>
        <w:tc>
          <w:tcPr>
            <w:tcW w:type="dxa" w:w="2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2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Basic + Cascade</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$999/mo</w:t>
            </w:r>
          </w:p>
        </w:tc>
      </w:tr>
      <w:tr>
        <w:tc>
          <w:tcPr>
            <w:tcW w:type="dxa" w:w="1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w:t>
            </w:r>
          </w:p>
        </w:tc>
        <w:tc>
          <w:tcPr>
            <w:tcW w:type="dxa" w:w="1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20</w:t>
            </w:r>
          </w:p>
        </w:tc>
        <w:tc>
          <w:tcPr>
            <w:tcW w:type="dxa" w:w="2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w:t>
            </w:r>
          </w:p>
        </w:tc>
        <w:tc>
          <w:tcPr>
            <w:tcW w:type="dxa" w:w="2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 API</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$1,999/mo</w:t>
            </w:r>
          </w:p>
        </w:tc>
      </w:tr>
      <w:tr>
        <w:tc>
          <w:tcPr>
            <w:tcW w:type="dxa" w:w="1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Enterprise</w:t>
            </w:r>
          </w:p>
        </w:tc>
        <w:tc>
          <w:tcPr>
            <w:tcW w:type="dxa" w:w="1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Unlimited</w:t>
            </w:r>
          </w:p>
        </w:tc>
        <w:tc>
          <w:tcPr>
            <w:tcW w:type="dxa" w:w="2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 SLA</w:t>
            </w:r>
          </w:p>
        </w:tc>
        <w:tc>
          <w:tcPr>
            <w:tcW w:type="dxa" w:w="2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 Priority</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Custom</w:t>
            </w:r>
          </w:p>
        </w:tc>
      </w:tr>
    </w:tbl>
    <w:p>
      <w:pPr>
        <w:spacing w:after="120" w:line="264"/>
      </w:pPr>
      <w:r>
        <w:rPr>
          <w:rFonts w:ascii="Arial" w:cs="Arial" w:eastAsia="Arial" w:hAnsi="Arial"/>
          <w:i/>
          <w:iCs/>
          <w:color w:val="5A7A94"/>
          <w:sz w:val="18"/>
          <w:szCs w:val="18"/>
        </w:rPr>
        <w:t xml:space="preserve">During beta, all features are accessible. Tier enforcement activates at general availability.</w:t>
      </w:r>
    </w:p>
    <w:p>
      <w:pPr>
        <w:pStyle w:val="Heading1"/>
      </w:pPr>
      <w:r>
        <w:t xml:space="preserve">3. Overview Screen</w:t>
      </w:r>
    </w:p>
    <w:p>
      <w:pPr>
        <w:spacing w:after="120" w:line="264"/>
      </w:pPr>
      <w:r>
        <w:rPr>
          <w:rFonts w:ascii="Arial" w:cs="Arial" w:eastAsia="Arial" w:hAnsi="Arial"/>
          <w:color w:val="1A2332"/>
          <w:sz w:val="20"/>
          <w:szCs w:val="20"/>
        </w:rPr>
        <w:t xml:space="preserve">The Overview is your starting point. Summary cards present at-a-glance status: engine status, watchlist size, active RED alerts, your tier, and current space weather. A highlighted priority event surfaces what needs human attention right now.</w:t>
      </w:r>
    </w:p>
    <w:p>
      <w:pPr>
        <w:pStyle w:val="Heading2"/>
      </w:pPr>
      <w:r>
        <w:t xml:space="preserve">3.1 Highest Priority Event Card</w:t>
      </w:r>
    </w:p>
    <w:p>
      <w:pPr>
        <w:spacing w:after="120" w:line="264"/>
      </w:pPr>
      <w:r>
        <w:rPr>
          <w:rFonts w:ascii="Arial" w:cs="Arial" w:eastAsia="Arial" w:hAnsi="Arial"/>
          <w:color w:val="1A2332"/>
          <w:sz w:val="20"/>
          <w:szCs w:val="20"/>
        </w:rPr>
        <w:t xml:space="preserve">If the Decision Engine has identified a non-trivial conjunction for any watchlist satellite, the highest-priority event is shown prominently: satellite name and NORAD ID, CAS recommendation (Maneuver advised / Monitor / No action), priority, confidence, and key metrics (Pc, miss distance, time to TCA, alert funnel).</w:t>
      </w:r>
    </w:p>
    <w:p>
      <w:pPr>
        <w:pStyle w:val="Heading2"/>
      </w:pPr>
      <w:r>
        <w:t xml:space="preserve">3.2 Recent Conjunctions</w:t>
      </w:r>
    </w:p>
    <w:p>
      <w:pPr>
        <w:spacing w:after="120" w:line="264"/>
      </w:pPr>
      <w:r>
        <w:rPr>
          <w:rFonts w:ascii="Arial" w:cs="Arial" w:eastAsia="Arial" w:hAnsi="Arial"/>
          <w:color w:val="1A2332"/>
          <w:sz w:val="20"/>
          <w:szCs w:val="20"/>
        </w:rPr>
        <w:t xml:space="preserve">A table of the most recent conjunction events from the Space-Track CDM feed, sorted by TCA (nearest first). Each row carries risk band, both objects, miss distance, Pc, and TCA.</w:t>
      </w:r>
    </w:p>
    <w:p>
      <w:pPr>
        <w:pStyle w:val="Heading1"/>
      </w:pPr>
      <w:r>
        <w:t xml:space="preserve">4. My Satellites — Watchlist</w:t>
      </w:r>
    </w:p>
    <w:p>
      <w:pPr>
        <w:spacing w:after="120" w:line="264"/>
      </w:pPr>
      <w:r>
        <w:rPr>
          <w:rFonts w:ascii="Arial" w:cs="Arial" w:eastAsia="Arial" w:hAnsi="Arial"/>
          <w:color w:val="1A2332"/>
          <w:sz w:val="20"/>
          <w:szCs w:val="20"/>
        </w:rPr>
        <w:t xml:space="preserve">The watchlist is your operational fleet. Adding a satellite tells CAS to monitor all conjunction events involving that object, run the Decision Engine for it, detect its orbital regime (LEO / VLEO / hybrid), and send email alerts when risk levels change.</w:t>
      </w:r>
    </w:p>
    <w:p>
      <w:pPr>
        <w:pStyle w:val="Heading2"/>
      </w:pPr>
      <w:r>
        <w:t xml:space="preserve">4.1 Adding a Satellite</w:t>
      </w:r>
    </w:p>
    <w:p>
      <w:pPr>
        <w:spacing w:after="120" w:line="264"/>
      </w:pPr>
      <w:r>
        <w:rPr>
          <w:rFonts w:ascii="Arial" w:cs="Arial" w:eastAsia="Arial" w:hAnsi="Arial"/>
          <w:color w:val="1A2332"/>
          <w:sz w:val="20"/>
          <w:szCs w:val="20"/>
        </w:rPr>
        <w:t xml:space="preserve">Enter the satellite's NORAD catalog identifier (e.g. 25544 for the ISS). CAS auto-populates the name from Celestrak, computes the average orbital altitude from the latest TLE, and tags the regime. A regime badge (LEO / VLEO / HYBRID) appears on each satellite.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ALTITUDE COMPUTATION</w:t>
            </w:r>
          </w:p>
          <w:p>
            <w:pPr>
              <w:spacing w:after="40" w:line="252"/>
            </w:pPr>
            <w:r>
              <w:rPr>
                <w:color w:val="1A2332"/>
                <w:sz w:val="18"/>
                <w:szCs w:val="18"/>
              </w:rPr>
              <w:t xml:space="preserve">Altitude is (perigee + apogee) / 2, where perigee = a(1−e) − R_Earth and apogee = a(1+e) − R_Earth. Semi-major axis a is from TLE mean motion: a = (μ/n²)^(1/3), μ = 398600.4418 km³/s².</w:t>
            </w:r>
          </w:p>
        </w:tc>
      </w:tr>
    </w:tbl>
    <w:p>
      <w:r>
        <w:br w:type="page"/>
      </w:r>
    </w:p>
    <w:p>
      <w:pPr>
        <w:pStyle w:val="Heading1"/>
      </w:pPr>
      <w:r>
        <w:t xml:space="preserve">5. Decisions — The Decision Engine</w:t>
      </w:r>
    </w:p>
    <w:p>
      <w:pPr>
        <w:spacing w:after="120" w:line="264"/>
      </w:pPr>
      <w:r>
        <w:rPr>
          <w:rFonts w:ascii="Arial" w:cs="Arial" w:eastAsia="Arial" w:hAnsi="Arial"/>
          <w:color w:val="1A2332"/>
          <w:sz w:val="20"/>
          <w:szCs w:val="20"/>
        </w:rPr>
        <w:t xml:space="preserve">The core of CAS. The Decision Engine evaluates all active conjunctions for your watchlist satellites and produces three coordinated outputs per satellite: recommendation, priority, and confidence.</w:t>
      </w:r>
    </w:p>
    <w:p>
      <w:pPr>
        <w:pStyle w:val="Heading2"/>
      </w:pPr>
      <w:r>
        <w:t xml:space="preserve">5.1 Recommendation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200"/>
        <w:gridCol w:w="3760"/>
        <w:gridCol w:w="3400"/>
      </w:tblGrid>
      <w:tr>
        <w:trPr>
          <w:tblHeader/>
        </w:trPr>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Recommendation</w:t>
            </w:r>
          </w:p>
        </w:tc>
        <w:tc>
          <w:tcPr>
            <w:tcW w:type="dxa" w:w="37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Meaning</w:t>
            </w:r>
          </w:p>
        </w:tc>
        <w:tc>
          <w:tcPr>
            <w:tcW w:type="dxa" w:w="3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Trigger</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Maneuver advised</w:t>
            </w:r>
          </w:p>
        </w:tc>
        <w:tc>
          <w:tcPr>
            <w:tcW w:type="dxa" w:w="3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Immediate action recommended; plan a collision-avoidance maneuver.</w:t>
            </w:r>
          </w:p>
        </w:tc>
        <w:tc>
          <w:tcPr>
            <w:tcW w:type="dxa" w:w="3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RED, or Pc ≥ 1×10⁻⁴, or miss &lt; 200 m (TCA not passed).</w:t>
            </w:r>
          </w:p>
        </w:tc>
      </w:tr>
      <w:tr>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Monitor</w:t>
            </w:r>
          </w:p>
        </w:tc>
        <w:tc>
          <w:tcPr>
            <w:tcW w:type="dxa" w:w="3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Elevated risk; watch for CDM updates and re-evaluate.</w:t>
            </w:r>
          </w:p>
        </w:tc>
        <w:tc>
          <w:tcPr>
            <w:tcW w:type="dxa" w:w="3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YELLOW, or Pc ≥ 1×10⁻⁵, or miss &lt; 1000 m.</w:t>
            </w:r>
          </w:p>
        </w:tc>
      </w:tr>
      <w:tr>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 action</w:t>
            </w:r>
          </w:p>
        </w:tc>
        <w:tc>
          <w:tcPr>
            <w:tcW w:type="dxa" w:w="3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acceptably low; no maneuver needed now.</w:t>
            </w:r>
          </w:p>
        </w:tc>
        <w:tc>
          <w:tcPr>
            <w:tcW w:type="dxa" w:w="3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criteria below thresholds.</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AUTOMATIC DOWNGRADE</w:t>
            </w:r>
          </w:p>
          <w:p>
            <w:pPr>
              <w:spacing w:after="40" w:line="252"/>
            </w:pPr>
            <w:r>
              <w:rPr>
                <w:color w:val="1A2332"/>
                <w:sz w:val="18"/>
                <w:szCs w:val="18"/>
              </w:rPr>
              <w:t xml:space="preserve">If TCA has passed (time remaining ≤ 0), ‘Maneuver advised’ is downgraded to ‘Monitor’ — you cannot maneuver for an event that already occurred.</w:t>
            </w:r>
          </w:p>
        </w:tc>
      </w:tr>
    </w:tbl>
    <w:p>
      <w:pPr>
        <w:pStyle w:val="Heading2"/>
      </w:pPr>
      <w:r>
        <w:t xml:space="preserve">5.2 Priority</w:t>
      </w:r>
    </w:p>
    <w:p>
      <w:pPr>
        <w:spacing w:after="120" w:line="264"/>
      </w:pPr>
      <w:r>
        <w:rPr>
          <w:rFonts w:ascii="Arial" w:cs="Arial" w:eastAsia="Arial" w:hAnsi="Arial"/>
          <w:color w:val="1A2332"/>
          <w:sz w:val="20"/>
          <w:szCs w:val="20"/>
        </w:rPr>
        <w:t xml:space="preserve">Priority is a weighted score (0–100): collision probability (0–40 pts), miss distance (0–30 pts), and time to TCA (0–30 pts). Score ≥ 60 → HIGH; ≥ 30 → MEDIUM; otherwise LOW.</w:t>
      </w:r>
    </w:p>
    <w:p>
      <w:pPr>
        <w:pStyle w:val="Heading2"/>
      </w:pPr>
      <w:r>
        <w:t xml:space="preserve">5.3 Confidence</w:t>
      </w:r>
    </w:p>
    <w:p>
      <w:pPr>
        <w:spacing w:after="120" w:line="264"/>
      </w:pPr>
      <w:r>
        <w:rPr>
          <w:rFonts w:ascii="Arial" w:cs="Arial" w:eastAsia="Arial" w:hAnsi="Arial"/>
          <w:color w:val="1A2332"/>
          <w:sz w:val="20"/>
          <w:szCs w:val="20"/>
        </w:rPr>
        <w:t xml:space="preserve">Confidence reflects how reliable the recommendation is given orbit-determination quality. Conjunctions closer to TCA have better orbit data and higher confidence.</w:t>
      </w:r>
    </w:p>
    <w:p>
      <w:pPr>
        <w:pStyle w:val="Heading2"/>
      </w:pPr>
      <w:r>
        <w:t xml:space="preserve">5.4 Operator Decision Buttons</w:t>
      </w:r>
    </w:p>
    <w:p>
      <w:pPr>
        <w:spacing w:after="120" w:line="264"/>
      </w:pPr>
      <w:r>
        <w:rPr>
          <w:rFonts w:ascii="Arial" w:cs="Arial" w:eastAsia="Arial" w:hAnsi="Arial"/>
          <w:color w:val="1A2332"/>
          <w:sz w:val="20"/>
          <w:szCs w:val="20"/>
        </w:rPr>
        <w:t xml:space="preserve">For every ‘Maneuver advised’ or ‘Monitor’ conjunction, the card shows two buttons:</w:t>
      </w:r>
    </w:p>
    <w:p>
      <w:pPr>
        <w:pStyle w:val="ListParagraph"/>
        <w:numPr>
          <w:ilvl w:val="0"/>
          <w:numId w:val="2"/>
        </w:numPr>
        <w:spacing w:after="60" w:line="260"/>
      </w:pPr>
      <w:r>
        <w:rPr>
          <w:rFonts w:ascii="Arial" w:cs="Arial" w:eastAsia="Arial" w:hAnsi="Arial"/>
          <w:b/>
          <w:bCs/>
          <w:color w:val="1A2332"/>
          <w:sz w:val="20"/>
          <w:szCs w:val="20"/>
        </w:rPr>
        <w:t xml:space="preserve">APPROVE MANEUVER </w:t>
      </w:r>
      <w:r>
        <w:rPr>
          <w:rFonts w:ascii="Arial" w:cs="Arial" w:eastAsia="Arial" w:hAnsi="Arial"/>
          <w:color w:val="1A2332"/>
          <w:sz w:val="20"/>
          <w:szCs w:val="20"/>
        </w:rPr>
        <w:t xml:space="preserve">— record that you have decided to execute a maneuver. This triggers no physical action; it records your operational decision.</w:t>
      </w:r>
    </w:p>
    <w:p>
      <w:pPr>
        <w:pStyle w:val="ListParagraph"/>
        <w:numPr>
          <w:ilvl w:val="0"/>
          <w:numId w:val="2"/>
        </w:numPr>
        <w:spacing w:after="60" w:line="260"/>
      </w:pPr>
      <w:r>
        <w:rPr>
          <w:rFonts w:ascii="Arial" w:cs="Arial" w:eastAsia="Arial" w:hAnsi="Arial"/>
          <w:b/>
          <w:bCs/>
          <w:color w:val="1A2332"/>
          <w:sz w:val="20"/>
          <w:szCs w:val="20"/>
        </w:rPr>
        <w:t xml:space="preserve">CONTINUE MONITORING </w:t>
      </w:r>
      <w:r>
        <w:rPr>
          <w:rFonts w:ascii="Arial" w:cs="Arial" w:eastAsia="Arial" w:hAnsi="Arial"/>
          <w:color w:val="1A2332"/>
          <w:sz w:val="20"/>
          <w:szCs w:val="20"/>
        </w:rPr>
        <w:t xml:space="preserve">— record that you reviewed the situation and chose to wait for updated CDM data.</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AUDIT TRAIL</w:t>
            </w:r>
          </w:p>
          <w:p>
            <w:pPr>
              <w:spacing w:after="40" w:line="252"/>
            </w:pPr>
            <w:r>
              <w:rPr>
                <w:color w:val="1A2332"/>
                <w:sz w:val="18"/>
                <w:szCs w:val="18"/>
              </w:rPr>
              <w:t xml:space="preserve">Operator decisions are stored with user ID, conjunction reference, action, timestamp, and optional notes — supporting operational audit trails and decision analytics.</w:t>
            </w:r>
          </w:p>
        </w:tc>
      </w:tr>
    </w:tbl>
    <w:p>
      <w:r>
        <w:br w:type="page"/>
      </w:r>
    </w:p>
    <w:p>
      <w:pPr>
        <w:pStyle w:val="Heading1"/>
      </w:pPr>
      <w:r>
        <w:t xml:space="preserve">6. VLEO Drag-Aware Tools</w:t>
      </w:r>
    </w:p>
    <w:p>
      <w:pPr>
        <w:spacing w:after="120" w:line="264"/>
      </w:pPr>
      <w:r>
        <w:rPr>
          <w:rFonts w:ascii="Arial" w:cs="Arial" w:eastAsia="Arial" w:hAnsi="Arial"/>
          <w:color w:val="1A2332"/>
          <w:sz w:val="20"/>
          <w:szCs w:val="20"/>
        </w:rPr>
        <w:t xml:space="preserve">For satellites below ~450 km, atmospheric drag dominates the dynamics. CAS detects the VLEO/hybrid regime automatically and offers a drag-aware decision layer. Open a VLEO satellite's assessment via the orange ‘i’ icon in the Satellites tab. All outputs are decision support — the operator decides and executes.</w:t>
      </w:r>
    </w:p>
    <w:p>
      <w:pPr>
        <w:pStyle w:val="Heading2"/>
      </w:pPr>
      <w:r>
        <w:t xml:space="preserve">6.1 Drag-Aware Assessment</w:t>
      </w:r>
    </w:p>
    <w:p>
      <w:pPr>
        <w:spacing w:after="120" w:line="264"/>
      </w:pPr>
      <w:r>
        <w:rPr>
          <w:rFonts w:ascii="Arial" w:cs="Arial" w:eastAsia="Arial" w:hAnsi="Arial"/>
          <w:color w:val="1A2332"/>
          <w:sz w:val="20"/>
          <w:szCs w:val="20"/>
        </w:rPr>
        <w:t xml:space="preserve">The assessment card shows a 0–100 urgency triage signal alongside the drag context: position-uncertainty (σ) inflation from drag, estimated orbital lifetime, atmospheric density (with the active model tagged — NRLMSIS 2.1 or USSA76 fallback), the daily drag make-up ΔV, and the ΔV budget over the horizon, plus the unmaintained decay path. The urgency score is a triage signal, not a Pc replacement.</w:t>
      </w:r>
    </w:p>
    <w:p>
      <w:pPr>
        <w:pStyle w:val="Heading2"/>
      </w:pPr>
      <w:r>
        <w:t xml:space="preserve">6.2 Station-Keeping Simulation</w:t>
      </w:r>
    </w:p>
    <w:p>
      <w:pPr>
        <w:spacing w:after="120" w:line="264"/>
      </w:pPr>
      <w:r>
        <w:rPr>
          <w:rFonts w:ascii="Arial" w:cs="Arial" w:eastAsia="Arial" w:hAnsi="Arial"/>
          <w:color w:val="1A2332"/>
          <w:sz w:val="20"/>
          <w:szCs w:val="20"/>
        </w:rPr>
        <w:t xml:space="preserve">Simulates holding the orbit against drag with continuous low-thrust (GOCE / Starlink-style). Choose a policy — Full hold, Partial 50%, or Ballistic (no thrust) — and the simulation returns the altitude profile over 30 days, the thruster ΔV budget, the daily ΔV, and the average thrust force. Full hold maintains altitude; Ballistic shows the natural decay.</w:t>
      </w:r>
    </w:p>
    <w:p>
      <w:pPr>
        <w:pStyle w:val="Heading2"/>
      </w:pPr>
      <w:r>
        <w:t xml:space="preserve">6.3 Fragmentation Cascade</w:t>
      </w:r>
    </w:p>
    <w:p>
      <w:pPr>
        <w:spacing w:after="120" w:line="264"/>
      </w:pPr>
      <w:r>
        <w:rPr>
          <w:rFonts w:ascii="Arial" w:cs="Arial" w:eastAsia="Arial" w:hAnsi="Arial"/>
          <w:color w:val="1A2332"/>
          <w:sz w:val="20"/>
          <w:szCs w:val="20"/>
        </w:rPr>
        <w:t xml:space="preserve">Estimates what would happen if the object fragmented at its current altitude. Using the NASA Standard Breakup Model and per-size drag lifetimes, it reports whether the event is catastrophic, the fragment count, the cloud-clearing timeline (50 / 90 / 99%), the transient elevated-risk window, and the downward sweep into lower bands.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VLEO IS SELF-CLEANING</w:t>
            </w:r>
          </w:p>
          <w:p>
            <w:pPr>
              <w:spacing w:after="40" w:line="252"/>
            </w:pPr>
            <w:r>
              <w:rPr>
                <w:color w:val="1A2332"/>
                <w:sz w:val="18"/>
                <w:szCs w:val="18"/>
              </w:rPr>
              <w:t xml:space="preserve">Unlike higher orbits, VLEO clears fragmentation debris by drag in days-to-months — not centuries. For example, a cloud at 356 km is ~99% cleared in roughly 8 days, versus ~26 years at 800 km. This is a transient risk window, not a persistent Kessler cascade, and not a full EVOLVE/LEGEND breakup simulation.</w:t>
            </w:r>
          </w:p>
        </w:tc>
      </w:tr>
    </w:tbl>
    <w:p>
      <w:pPr>
        <w:pStyle w:val="Heading2"/>
      </w:pPr>
      <w:r>
        <w:t xml:space="preserve">6.4 Maneuver Fuel Trade-Space</w:t>
      </w:r>
    </w:p>
    <w:p>
      <w:pPr>
        <w:spacing w:after="120" w:line="264"/>
      </w:pPr>
      <w:r>
        <w:rPr>
          <w:rFonts w:ascii="Arial" w:cs="Arial" w:eastAsia="Arial" w:hAnsi="Arial"/>
          <w:color w:val="1A2332"/>
          <w:sz w:val="20"/>
          <w:szCs w:val="20"/>
        </w:rPr>
        <w:t xml:space="preserve">Shows what a collision-avoidance maneuver costs at different lead times for a target added separation. Earlier maneuvers are cheaper (the required ΔV scales roughly as Δsep/(3·t), Clohessy-Wiltshire). Because a VLEO satellite already spends prograde ΔV on drag make-up, part of the burn (capped at 30%) can overlap — so a small saving is shown. This is options and costs for you to weigh; nothing is executed, and a maneuver is never reported as ‘free’.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ILLUSTRATIVE GEOMETRY</w:t>
            </w:r>
          </w:p>
          <w:p>
            <w:pPr>
              <w:spacing w:after="40" w:line="252"/>
            </w:pPr>
            <w:r>
              <w:rPr>
                <w:color w:val="1A2332"/>
                <w:sz w:val="18"/>
                <w:szCs w:val="18"/>
              </w:rPr>
              <w:t xml:space="preserve">VLEO tools use representative geometry at the satellite's altitude. For a specific conjunction, open its detail view — a real maneuver uses the actual miss vector, TCA, and relative velocity. Physics estimates carry ±30–50% solar-cycle sensitivity and are not a propellant guarantee.</w:t>
            </w:r>
          </w:p>
        </w:tc>
      </w:tr>
    </w:tbl>
    <w:p>
      <w:pPr>
        <w:pStyle w:val="Heading1"/>
      </w:pPr>
      <w:r>
        <w:t xml:space="preserve">7. ML Layer 1 — False-Positive Triage</w:t>
      </w:r>
    </w:p>
    <w:p>
      <w:pPr>
        <w:spacing w:after="120" w:line="264"/>
      </w:pPr>
      <w:r>
        <w:rPr>
          <w:rFonts w:ascii="Arial" w:cs="Arial" w:eastAsia="Arial" w:hAnsi="Arial"/>
          <w:color w:val="1A2332"/>
          <w:sz w:val="20"/>
          <w:szCs w:val="20"/>
        </w:rPr>
        <w:t xml:space="preserve">ML Layer 1 is a calibrated machine-learning triage signal that helps prioritise which conjunctions deserve attention. It augments — never overrides — the deterministic Pc and your judgement.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400"/>
        <w:gridCol w:w="6960"/>
      </w:tblGrid>
      <w:tr>
        <w:trPr>
          <w:tblHeader/>
        </w:trPr>
        <w:tc>
          <w:tcPr>
            <w:tcW w:type="dxa" w:w="2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Aspect</w:t>
            </w:r>
          </w:p>
        </w:tc>
        <w:tc>
          <w:tcPr>
            <w:tcW w:type="dxa" w:w="69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What it means for you</w:t>
            </w:r>
          </w:p>
        </w:tc>
      </w:tr>
      <w:tr>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Calibrated tiers</w:t>
            </w:r>
          </w:p>
        </w:tc>
        <w:tc>
          <w:tcPr>
            <w:tcW w:type="dxa" w:w="6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Scores map to RED / YELLOW / GREEN tiers derived from calibration, not arbitrary cut-offs.</w:t>
            </w:r>
          </w:p>
        </w:tc>
      </w:tr>
      <w:tr>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Explainability</w:t>
            </w:r>
          </w:p>
        </w:tc>
        <w:tc>
          <w:tcPr>
            <w:tcW w:type="dxa" w:w="6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Each scored event exposes SHAP feature attributions, so you can see what drove the score.</w:t>
            </w:r>
          </w:p>
        </w:tc>
      </w:tr>
      <w:tr>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Fail-safe</w:t>
            </w:r>
          </w:p>
        </w:tc>
        <w:tc>
          <w:tcPr>
            <w:tcW w:type="dxa" w:w="69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If a CDM lacks enough data (coverage gate), the model returns UNAVAILABLE and CAS defers to the deterministic Pc funnel — it does not guess.</w:t>
            </w:r>
          </w:p>
        </w:tc>
      </w:tr>
      <w:tr>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Boundary</w:t>
            </w:r>
          </w:p>
        </w:tc>
        <w:tc>
          <w:tcPr>
            <w:tcW w:type="dxa" w:w="69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output is a triage aid. The deterministic Pc and operator decision remain authoritative.</w:t>
            </w:r>
          </w:p>
        </w:tc>
      </w:tr>
    </w:tbl>
    <w:p>
      <w:pPr>
        <w:pStyle w:val="Heading1"/>
      </w:pPr>
      <w:r>
        <w:t xml:space="preserve">8. Trends, Conjunctions &amp; Risk Classification</w:t>
      </w:r>
    </w:p>
    <w:p>
      <w:pPr>
        <w:pStyle w:val="Heading2"/>
      </w:pPr>
      <w:r>
        <w:t xml:space="preserve">8.1 72-Hour Trend Analysis</w:t>
      </w:r>
    </w:p>
    <w:p>
      <w:pPr>
        <w:spacing w:after="120" w:line="264"/>
      </w:pPr>
      <w:r>
        <w:rPr>
          <w:rFonts w:ascii="Arial" w:cs="Arial" w:eastAsia="Arial" w:hAnsi="Arial"/>
          <w:color w:val="1A2332"/>
          <w:sz w:val="20"/>
          <w:szCs w:val="20"/>
        </w:rPr>
        <w:t xml:space="preserve">The Trends tab shows how Pc has evolved over the past 72 hours for each watchlist satellite, with a forward extrapolation indicating escalating, stable, or de-escalating risk. A rising Pc line means increasing risk; the trend slope is the rate of change per hour. Fewer than three observations triggers an ‘insufficient data’ flag.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FORECAST CAVEAT</w:t>
            </w:r>
          </w:p>
          <w:p>
            <w:pPr>
              <w:spacing w:after="40" w:line="252"/>
            </w:pPr>
            <w:r>
              <w:rPr>
                <w:color w:val="1A2332"/>
                <w:sz w:val="18"/>
                <w:szCs w:val="18"/>
              </w:rPr>
              <w:t xml:space="preserve">Forecasts are linear extrapolations capped to [0, 1]. They are indicative only and should not be the sole basis for a maneuver decision.</w:t>
            </w:r>
          </w:p>
        </w:tc>
      </w:tr>
    </w:tbl>
    <w:p>
      <w:pPr>
        <w:pStyle w:val="Heading2"/>
      </w:pPr>
      <w:r>
        <w:t xml:space="preserve">8.2 Conjunctions Feed</w:t>
      </w:r>
    </w:p>
    <w:p>
      <w:pPr>
        <w:spacing w:after="120" w:line="264"/>
      </w:pPr>
      <w:r>
        <w:rPr>
          <w:rFonts w:ascii="Arial" w:cs="Arial" w:eastAsia="Arial" w:hAnsi="Arial"/>
          <w:color w:val="1A2332"/>
          <w:sz w:val="20"/>
          <w:szCs w:val="20"/>
        </w:rPr>
        <w:t xml:space="preserve">Shows all active conjunction events from the Space-Track CDM public feed, refreshed hourly. CSV export is available. Fields: CDM ID, both objects and NORAD IDs, TCA (UTC), miss distance (m), Pc, risk band, and relative velocity.</w:t>
      </w:r>
    </w:p>
    <w:p>
      <w:pPr>
        <w:pStyle w:val="Heading2"/>
      </w:pPr>
      <w:r>
        <w:t xml:space="preserve">8.3 Risk Classification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300"/>
        <w:gridCol w:w="2200"/>
        <w:gridCol w:w="1500"/>
        <w:gridCol w:w="4360"/>
      </w:tblGrid>
      <w:tr>
        <w:trPr>
          <w:tblHeader/>
        </w:trPr>
        <w:tc>
          <w:tcPr>
            <w:tcW w:type="dxa" w:w="1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Level</w:t>
            </w:r>
          </w:p>
        </w:tc>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Pc Threshold</w:t>
            </w:r>
          </w:p>
        </w:tc>
        <w:tc>
          <w:tcPr>
            <w:tcW w:type="dxa" w:w="1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Miss</w:t>
            </w:r>
          </w:p>
        </w:tc>
        <w:tc>
          <w:tcPr>
            <w:tcW w:type="dxa" w:w="4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Operational Meaning</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RED</w:t>
            </w:r>
          </w:p>
        </w:tc>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&gt; 1×10⁻⁴</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&lt; 200 m</w:t>
            </w:r>
          </w:p>
        </w:tc>
        <w:tc>
          <w:tcPr>
            <w:tcW w:type="dxa" w:w="4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High risk. Maneuver planning recommended.</w:t>
            </w:r>
          </w:p>
        </w:tc>
      </w:tr>
      <w:tr>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YELLOW</w:t>
            </w:r>
          </w:p>
        </w:tc>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&gt; 1×10⁻⁵</w:t>
            </w:r>
          </w:p>
        </w:tc>
        <w:tc>
          <w:tcPr>
            <w:tcW w:type="dxa" w:w="1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&lt; 1000 m</w:t>
            </w:r>
          </w:p>
        </w:tc>
        <w:tc>
          <w:tcPr>
            <w:tcW w:type="dxa" w:w="4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Elevated risk. Active monitoring required.</w:t>
            </w:r>
          </w:p>
        </w:tc>
      </w:tr>
      <w:tr>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GREEN</w:t>
            </w:r>
          </w:p>
        </w:tc>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Below thresholds</w:t>
            </w:r>
          </w:p>
        </w:tc>
        <w:tc>
          <w:tcPr>
            <w:tcW w:type="dxa" w:w="1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 1000 m</w:t>
            </w:r>
          </w:p>
        </w:tc>
        <w:tc>
          <w:tcPr>
            <w:tcW w:type="dxa" w:w="4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Low risk. No action needed now.</w:t>
            </w:r>
          </w:p>
        </w:tc>
      </w:tr>
    </w:tbl>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THRESHOLD ALIGNMENT &amp; BOUNDARY</w:t>
            </w:r>
          </w:p>
          <w:p>
            <w:pPr>
              <w:spacing w:after="40" w:line="252"/>
            </w:pPr>
            <w:r>
              <w:rPr>
                <w:color w:val="1A2332"/>
                <w:sz w:val="18"/>
                <w:szCs w:val="18"/>
              </w:rPr>
              <w:t xml:space="preserve">The RED Pc threshold (1×10⁻⁴) aligns with the widely used NASA CARA screening threshold adopted by ESA. The comparison uses strict greater-than: Pc = 1×10⁻⁴ exactly falls to YELLOW, not RED — a deliberate conservative choice.</w:t>
            </w:r>
          </w:p>
        </w:tc>
      </w:tr>
    </w:tbl>
    <w:p>
      <w:r>
        <w:br w:type="page"/>
      </w:r>
    </w:p>
    <w:p>
      <w:pPr>
        <w:pStyle w:val="Heading1"/>
      </w:pPr>
      <w:r>
        <w:t xml:space="preserve">9. Collision Probability Computation</w:t>
      </w:r>
    </w:p>
    <w:p>
      <w:pPr>
        <w:spacing w:after="120" w:line="264"/>
      </w:pPr>
      <w:r>
        <w:rPr>
          <w:rFonts w:ascii="Arial" w:cs="Arial" w:eastAsia="Arial" w:hAnsi="Arial"/>
          <w:color w:val="1A2332"/>
          <w:sz w:val="20"/>
          <w:szCs w:val="20"/>
        </w:rPr>
        <w:t xml:space="preserve">CAS computes collision probability using the Foster-Chan method (1992), which reduces the 2D Gaussian collision integral to a single-variable integral involving the modified Bessel function I₀, evaluated numerically (rectangle rule, N=200). The implementation is validated against the analytical closed-form for the head-on case within 10⁻³ tolerance.</w:t>
      </w:r>
    </w:p>
    <w:p>
      <w:pPr>
        <w:pStyle w:val="Heading2"/>
      </w:pPr>
      <w:r>
        <w:t xml:space="preserve">9.1 The Sigma Limitation — Important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CRITICAL OPERATIONAL NOTE</w:t>
            </w:r>
          </w:p>
          <w:p>
            <w:pPr>
              <w:spacing w:after="40" w:line="252"/>
            </w:pPr>
            <w:r>
              <w:rPr>
                <w:color w:val="1A2332"/>
                <w:sz w:val="18"/>
                <w:szCs w:val="18"/>
              </w:rPr>
              <w:t xml:space="preserve">CAS uses a fixed effective sigma where covariance is unavailable, because Space-Track's public CDM class does not include the full covariance matrix (CR_R, CT_T, CN_N absent).</w:t>
            </w:r>
          </w:p>
        </w:tc>
      </w:tr>
    </w:tbl>
    <w:p>
      <w:pPr>
        <w:spacing w:after="120" w:line="264"/>
      </w:pPr>
      <w:r>
        <w:rPr>
          <w:rFonts w:ascii="Arial" w:cs="Arial" w:eastAsia="Arial" w:hAnsi="Arial"/>
          <w:b/>
          <w:bCs/>
          <w:color w:val="1A2332"/>
          <w:sz w:val="20"/>
          <w:szCs w:val="20"/>
        </w:rPr>
        <w:t xml:space="preserve">What this means for you: </w:t>
      </w:r>
      <w:r>
        <w:rPr>
          <w:rFonts w:ascii="Arial" w:cs="Arial" w:eastAsia="Arial" w:hAnsi="Arial"/>
          <w:color w:val="1A2332"/>
          <w:sz w:val="20"/>
          <w:szCs w:val="20"/>
        </w:rPr>
        <w:t xml:space="preserve">CAS Pc values should be read as RELATIVE RISK RANKINGS, not absolute collision probabilities. A conjunction at Pc = 2.3×10⁻³ is far more dangerous than one at 4.5×10⁻⁶, and that comparison is valid. If you have owner/operator CDMs with full covariance, those Pc values will be more accurate than CAS's estimates.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CONSISTENCY ≠ ACCURACY</w:t>
            </w:r>
          </w:p>
          <w:p>
            <w:pPr>
              <w:spacing w:after="40" w:line="252"/>
            </w:pPr>
            <w:r>
              <w:rPr>
                <w:color w:val="1A2332"/>
                <w:sz w:val="18"/>
                <w:szCs w:val="18"/>
              </w:rPr>
              <w:t xml:space="preserve">CAS does not claim percentage-based accuracy. We validate consistency: our Pc computation is consistent with the Foster-Chan method to ≥99% across thousands of CDMs. Accuracy requires covariance data we do not have at the public tier.</w:t>
            </w:r>
          </w:p>
        </w:tc>
      </w:tr>
    </w:tbl>
    <w:p>
      <w:pPr>
        <w:pStyle w:val="Heading1"/>
      </w:pPr>
      <w:r>
        <w:t xml:space="preserve">10. EU SST Integration</w:t>
      </w:r>
    </w:p>
    <w:p>
      <w:pPr>
        <w:spacing w:after="120" w:line="264"/>
      </w:pPr>
      <w:r>
        <w:rPr>
          <w:rFonts w:ascii="Arial" w:cs="Arial" w:eastAsia="Arial" w:hAnsi="Arial"/>
          <w:color w:val="1A2332"/>
          <w:sz w:val="20"/>
          <w:szCs w:val="20"/>
        </w:rPr>
        <w:t xml:space="preserve">CAS integrates with the European Space Surveillance and Tracking (EU SST) service via three portal sub-sections:</w:t>
      </w:r>
    </w:p>
    <w:p>
      <w:pPr>
        <w:pStyle w:val="ListParagraph"/>
        <w:numPr>
          <w:ilvl w:val="0"/>
          <w:numId w:val="2"/>
        </w:numPr>
        <w:spacing w:after="60" w:line="260"/>
      </w:pPr>
      <w:r>
        <w:rPr>
          <w:rFonts w:ascii="Arial" w:cs="Arial" w:eastAsia="Arial" w:hAnsi="Arial"/>
          <w:b/>
          <w:bCs/>
          <w:color w:val="1A2332"/>
          <w:sz w:val="20"/>
          <w:szCs w:val="20"/>
        </w:rPr>
        <w:t xml:space="preserve">Aggregate </w:t>
      </w:r>
      <w:r>
        <w:rPr>
          <w:rFonts w:ascii="Arial" w:cs="Arial" w:eastAsia="Arial" w:hAnsi="Arial"/>
          <w:color w:val="1A2332"/>
          <w:sz w:val="20"/>
          <w:szCs w:val="20"/>
        </w:rPr>
        <w:t xml:space="preserve">— totals for fragmentation and re-entry events, risk distribution, and regime breakdown. All tiers.</w:t>
      </w:r>
    </w:p>
    <w:p>
      <w:pPr>
        <w:pStyle w:val="ListParagraph"/>
        <w:numPr>
          <w:ilvl w:val="0"/>
          <w:numId w:val="2"/>
        </w:numPr>
        <w:spacing w:after="60" w:line="260"/>
      </w:pPr>
      <w:r>
        <w:rPr>
          <w:rFonts w:ascii="Arial" w:cs="Arial" w:eastAsia="Arial" w:hAnsi="Arial"/>
          <w:b/>
          <w:bCs/>
          <w:color w:val="1A2332"/>
          <w:sz w:val="20"/>
          <w:szCs w:val="20"/>
        </w:rPr>
        <w:t xml:space="preserve">Re-entries </w:t>
      </w:r>
      <w:r>
        <w:rPr>
          <w:rFonts w:ascii="Arial" w:cs="Arial" w:eastAsia="Arial" w:hAnsi="Arial"/>
          <w:color w:val="1A2332"/>
          <w:sz w:val="20"/>
          <w:szCs w:val="20"/>
        </w:rPr>
        <w:t xml:space="preserve">— objects predicted to re-enter, with object name, NORAD ID, predicted UTC, risk level (Major/Medium/Minor), and areas of interest. Upcoming events highlighted with a countdown.</w:t>
      </w:r>
    </w:p>
    <w:p>
      <w:pPr>
        <w:pStyle w:val="ListParagraph"/>
        <w:numPr>
          <w:ilvl w:val="0"/>
          <w:numId w:val="2"/>
        </w:numPr>
        <w:spacing w:after="60" w:line="260"/>
      </w:pPr>
      <w:r>
        <w:rPr>
          <w:rFonts w:ascii="Arial" w:cs="Arial" w:eastAsia="Arial" w:hAnsi="Arial"/>
          <w:b/>
          <w:bCs/>
          <w:color w:val="1A2332"/>
          <w:sz w:val="20"/>
          <w:szCs w:val="20"/>
        </w:rPr>
        <w:t xml:space="preserve">Fragmentations </w:t>
      </w:r>
      <w:r>
        <w:rPr>
          <w:rFonts w:ascii="Arial" w:cs="Arial" w:eastAsia="Arial" w:hAnsi="Arial"/>
          <w:color w:val="1A2332"/>
          <w:sz w:val="20"/>
          <w:szCs w:val="20"/>
        </w:rPr>
        <w:t xml:space="preserve">— orbital breakup events with parent object(s), regime, epoch, and fragment count where available.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0097B2" w:sz="24"/>
              <w:bottom w:val="none"/>
              <w:right w:val="none"/>
            </w:tcBorders>
            <w:shd w:fill="EAF6F8" w:val="clear"/>
            <w:tcMar>
              <w:top w:type="dxa" w:w="100"/>
              <w:left w:type="dxa" w:w="160"/>
              <w:bottom w:type="dxa" w:w="100"/>
              <w:right w:type="dxa" w:w="140"/>
            </w:tcMar>
          </w:tcPr>
          <w:p>
            <w:pPr>
              <w:spacing w:after="60"/>
            </w:pPr>
            <w:r>
              <w:rPr>
                <w:rFonts w:ascii="Consolas" w:cs="Consolas" w:eastAsia="Consolas" w:hAnsi="Consolas"/>
                <w:b/>
                <w:bCs/>
                <w:color w:val="0097B2"/>
                <w:spacing w:val="20"/>
                <w:sz w:val="16"/>
                <w:szCs w:val="16"/>
              </w:rPr>
              <w:t xml:space="preserve">DATA HANDLING</w:t>
            </w:r>
          </w:p>
          <w:p>
            <w:pPr>
              <w:spacing w:after="40" w:line="252"/>
            </w:pPr>
            <w:r>
              <w:rPr>
                <w:color w:val="1A2332"/>
                <w:sz w:val="18"/>
                <w:szCs w:val="18"/>
              </w:rPr>
              <w:t xml:space="preserve">Re-entry and fragmentation data come from EU SST analysis services under public access terms. CAS layers independently computed analysis on top and is not affiliated with or endorsed by EU SST. Raw payloads are not redistributed (EU SST ToS §5.1).</w:t>
            </w:r>
          </w:p>
        </w:tc>
      </w:tr>
    </w:tbl>
    <w:p>
      <w:pPr>
        <w:pStyle w:val="Heading1"/>
      </w:pPr>
      <w:r>
        <w:t xml:space="preserve">11. Space Weather</w:t>
      </w:r>
    </w:p>
    <w:p>
      <w:pPr>
        <w:spacing w:after="120" w:line="264"/>
      </w:pPr>
      <w:r>
        <w:rPr>
          <w:rFonts w:ascii="Arial" w:cs="Arial" w:eastAsia="Arial" w:hAnsi="Arial"/>
          <w:color w:val="1A2332"/>
          <w:sz w:val="20"/>
          <w:szCs w:val="20"/>
        </w:rPr>
        <w:t xml:space="preserve">Space weather directly affects LEO/VLEO operations. The panel surfaces three indices with operator-language interpretation, 7-day hourly snapshots, and recent NOAA alerts.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900"/>
        <w:gridCol w:w="1300"/>
        <w:gridCol w:w="6160"/>
      </w:tblGrid>
      <w:tr>
        <w:trPr>
          <w:tblHeader/>
        </w:trPr>
        <w:tc>
          <w:tcPr>
            <w:tcW w:type="dxa" w:w="19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Index</w:t>
            </w:r>
          </w:p>
        </w:tc>
        <w:tc>
          <w:tcPr>
            <w:tcW w:type="dxa" w:w="1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Range</w:t>
            </w:r>
          </w:p>
        </w:tc>
        <w:tc>
          <w:tcPr>
            <w:tcW w:type="dxa" w:w="6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Operational Meaning</w:t>
            </w:r>
          </w:p>
        </w:tc>
      </w:tr>
      <w:tr>
        <w:tc>
          <w:tcPr>
            <w:tcW w:type="dxa" w:w="19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Geomagnetic Kp</w:t>
            </w:r>
          </w:p>
        </w:tc>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0–9</w:t>
            </w:r>
          </w:p>
        </w:tc>
        <w:tc>
          <w:tcPr>
            <w:tcW w:type="dxa" w:w="6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Kp ≥ 5 indicates a storm — inflates drag, accelerates LEO decay, degrades short-term TLE accuracy.</w:t>
            </w:r>
          </w:p>
        </w:tc>
      </w:tr>
      <w:tr>
        <w:tc>
          <w:tcPr>
            <w:tcW w:type="dxa" w:w="19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F10.7 solar flux</w:t>
            </w:r>
          </w:p>
        </w:tc>
        <w:tc>
          <w:tcPr>
            <w:tcW w:type="dxa" w:w="1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sfu</w:t>
            </w:r>
          </w:p>
        </w:tc>
        <w:tc>
          <w:tcPr>
            <w:tcW w:type="dxa" w:w="6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Drives upper-atmosphere density; elevated F10.7 increases drag and affects propagation.</w:t>
            </w:r>
          </w:p>
        </w:tc>
      </w:tr>
      <w:tr>
        <w:tc>
          <w:tcPr>
            <w:tcW w:type="dxa" w:w="19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X-ray peak</w:t>
            </w:r>
          </w:p>
        </w:tc>
        <w:tc>
          <w:tcPr>
            <w:tcW w:type="dxa" w:w="1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A/B/C/M/X</w:t>
            </w:r>
          </w:p>
        </w:tc>
        <w:tc>
          <w:tcPr>
            <w:tcW w:type="dxa" w:w="6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Solar-flare class; M and X indicate ionospheric disturbance and possible single-event upsets.</w:t>
            </w:r>
          </w:p>
        </w:tc>
      </w:tr>
    </w:tbl>
    <w:p>
      <w:pPr>
        <w:spacing w:after="120" w:line="264"/>
      </w:pPr>
      <w:r>
        <w:rPr>
          <w:rFonts w:ascii="Arial" w:cs="Arial" w:eastAsia="Arial" w:hAnsi="Arial"/>
          <w:color w:val="5A7A94"/>
          <w:sz w:val="18"/>
          <w:szCs w:val="18"/>
        </w:rPr>
        <w:t xml:space="preserve">All space-weather data is from NOAA SWPC public feeds, polled hourly. CAS performs no independent observation — the panel is a curated, operator-focused presentation of public data.</w:t>
      </w:r>
    </w:p>
    <w:p>
      <w:r>
        <w:br w:type="page"/>
      </w:r>
    </w:p>
    <w:p>
      <w:pPr>
        <w:pStyle w:val="Heading1"/>
      </w:pPr>
      <w:r>
        <w:t xml:space="preserve">12. Catalog, Launches, Directory &amp; History</w:t>
      </w:r>
    </w:p>
    <w:p>
      <w:pPr>
        <w:pStyle w:val="Heading2"/>
      </w:pPr>
      <w:r>
        <w:t xml:space="preserve">12.1 Live Catalog (3D Globe)</w:t>
      </w:r>
    </w:p>
    <w:p>
      <w:pPr>
        <w:spacing w:after="120" w:line="264"/>
      </w:pPr>
      <w:r>
        <w:rPr>
          <w:rFonts w:ascii="Arial" w:cs="Arial" w:eastAsia="Arial" w:hAnsi="Arial"/>
          <w:color w:val="1A2332"/>
          <w:sz w:val="20"/>
          <w:szCs w:val="20"/>
        </w:rPr>
        <w:t xml:space="preserve">An interactive 3D globe of the full tracked-object set (30,000+ objects), colour-coded by type: payload/active (blue/cyan), debris (red/pink), rocket body (orange), space station (yellow). TLE data aggregates Celestrak and Space-Track, cached 6 hours and deduplicated by NORAD ID. Side panels show orbital congestion per regime, major debris sources, and a live RED-conjunction ticker.</w:t>
      </w:r>
    </w:p>
    <w:p>
      <w:pPr>
        <w:pStyle w:val="Heading2"/>
      </w:pPr>
      <w:r>
        <w:t xml:space="preserve">12.2 Launches</w:t>
      </w:r>
    </w:p>
    <w:p>
      <w:pPr>
        <w:spacing w:after="120" w:line="264"/>
      </w:pPr>
      <w:r>
        <w:rPr>
          <w:rFonts w:ascii="Arial" w:cs="Arial" w:eastAsia="Arial" w:hAnsi="Arial"/>
          <w:color w:val="1A2332"/>
          <w:sz w:val="20"/>
          <w:szCs w:val="20"/>
        </w:rPr>
        <w:t xml:space="preserve">The global launch schedule (Upcoming and Recent), sourced from public launch APIs. Operators use it to anticipate population growth in their regime, track constellation deployments before objects appear in CDM feeds, and allocate review attention ahead of major deployments. CAS also screens launch windows against the catalog for conjunction exposure.</w:t>
      </w:r>
    </w:p>
    <w:p>
      <w:pPr>
        <w:pStyle w:val="Heading2"/>
      </w:pPr>
      <w:r>
        <w:t xml:space="preserve">12.3 Historical Events</w:t>
      </w:r>
    </w:p>
    <w:p>
      <w:pPr>
        <w:spacing w:after="120" w:line="264"/>
      </w:pPr>
      <w:r>
        <w:rPr>
          <w:rFonts w:ascii="Arial" w:cs="Arial" w:eastAsia="Arial" w:hAnsi="Arial"/>
          <w:color w:val="1A2332"/>
          <w:sz w:val="20"/>
          <w:szCs w:val="20"/>
        </w:rPr>
        <w:t xml:space="preserve">A curated set of high-Pc reference conjunctions drawn exclusively from real Space-Track CDMs (no synthetic data). Each pairs the original CDM with the CAS recommendation that would have applied and the actual outcome where known — useful for edge-case familiarisation, decision-layer transparency, and training.</w:t>
      </w:r>
    </w:p>
    <w:p>
      <w:pPr>
        <w:pStyle w:val="Heading2"/>
      </w:pPr>
      <w:r>
        <w:t xml:space="preserve">12.4 Space Industry Directory</w:t>
      </w:r>
    </w:p>
    <w:p>
      <w:pPr>
        <w:spacing w:after="120" w:line="264"/>
      </w:pPr>
      <w:r>
        <w:rPr>
          <w:rFonts w:ascii="Arial" w:cs="Arial" w:eastAsia="Arial" w:hAnsi="Arial"/>
          <w:color w:val="1A2332"/>
          <w:sz w:val="20"/>
          <w:szCs w:val="20"/>
        </w:rPr>
        <w:t xml:space="preserve">A searchable registry of operators, agencies, manufacturers, SSA providers, and launch organisations — with constellation, satellite count, and contact where available. When a CDM names an unfamiliar counterpart, the directory surfaces the operator and contact path quickly.</w:t>
      </w:r>
    </w:p>
    <w:p>
      <w:pPr>
        <w:pStyle w:val="Heading1"/>
      </w:pPr>
      <w:r>
        <w:t xml:space="preserve">13. API Access</w:t>
      </w:r>
    </w:p>
    <w:p>
      <w:pPr>
        <w:spacing w:after="120" w:line="264"/>
      </w:pPr>
      <w:r>
        <w:rPr>
          <w:rFonts w:ascii="Arial" w:cs="Arial" w:eastAsia="Arial" w:hAnsi="Arial"/>
          <w:color w:val="1A2332"/>
          <w:sz w:val="20"/>
          <w:szCs w:val="20"/>
        </w:rPr>
        <w:t xml:space="preserve">CAS provides a RESTful API. Authenticate with your API key: </w:t>
      </w:r>
      <w:r>
        <w:rPr>
          <w:rFonts w:ascii="Consolas" w:cs="Consolas" w:eastAsia="Consolas" w:hAnsi="Consolas"/>
          <w:color w:val="13294B"/>
          <w:sz w:val="18"/>
          <w:szCs w:val="18"/>
        </w:rPr>
        <w:t xml:space="preserve">Authorization: ApiKey cas_xxxx</w:t>
      </w:r>
      <w:r>
        <w:rPr>
          <w:rFonts w:ascii="Arial" w:cs="Arial" w:eastAsia="Arial" w:hAnsi="Arial"/>
          <w:color w:val="1A2332"/>
          <w:sz w:val="20"/>
          <w:szCs w:val="20"/>
        </w:rPr>
        <w:t xml:space="preserve">. v2 endpoints are namespaced under /api/v2.</w:t>
      </w:r>
    </w:p>
    <w:p>
      <w:pPr>
        <w:pStyle w:val="Heading2"/>
      </w:pPr>
      <w:r>
        <w:t xml:space="preserve">13.1 Key Endpoints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200"/>
        <w:gridCol w:w="4160"/>
        <w:gridCol w:w="4000"/>
      </w:tblGrid>
      <w:tr>
        <w:trPr>
          <w:tblHeader/>
        </w:trPr>
        <w:tc>
          <w:tcPr>
            <w:tcW w:type="dxa" w:w="1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Method</w:t>
            </w:r>
          </w:p>
        </w:tc>
        <w:tc>
          <w:tcPr>
            <w:tcW w:type="dxa" w:w="4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Endpoint</w:t>
            </w:r>
          </w:p>
        </w:tc>
        <w:tc>
          <w:tcPr>
            <w:tcW w:type="dxa" w:w="4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/auth/me</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Verify auth and retrieve user info</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GET/POST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 /add · /remove</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Watchlist management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/api/decision/dashboard · /scan</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results / fresh scan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/api/operator-decision</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Record your maneuver decision</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/api/trend/&lt;norad&gt;</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72h Pc trend for a satellite</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/api/v2/vleo/assess · /delta-v</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assessment / ΔV forecast</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/api/v2/vleo/maneuver-sim</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simulation</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POST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/api/v2/vleo/cascade · /fuel-tradespace</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 fuel trade-space</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/api/eusst/aggregate</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summary</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/api/spaceweather/current · /history</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Space-weather state / history</w:t>
            </w:r>
          </w:p>
        </w:tc>
      </w:tr>
      <w:tr>
        <w:tc>
          <w:tcPr>
            <w:tcW w:type="dxa" w:w="1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WS</w:t>
            </w:r>
          </w:p>
        </w:tc>
        <w:tc>
          <w:tcPr>
            <w:tcW w:type="dxa" w:w="4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/api/v2/ws/conjunctions</w:t>
            </w:r>
          </w:p>
        </w:tc>
        <w:tc>
          <w:tcPr>
            <w:tcW w:type="dxa" w:w="4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Real-time conjunction stream</w:t>
            </w:r>
          </w:p>
        </w:tc>
      </w:tr>
      <w:tr>
        <w:tc>
          <w:tcPr>
            <w:tcW w:type="dxa" w:w="1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GET</w:t>
            </w:r>
          </w:p>
        </w:tc>
        <w:tc>
          <w:tcPr>
            <w:tcW w:type="dxa" w:w="4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/health · /api/metrics</w:t>
            </w:r>
          </w:p>
        </w:tc>
        <w:tc>
          <w:tcPr>
            <w:tcW w:type="dxa" w:w="4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Health / Prometheus metrics</w:t>
            </w:r>
          </w:p>
        </w:tc>
      </w:tr>
    </w:tbl>
    <w:p>
      <w:pPr>
        <w:pStyle w:val="Heading1"/>
      </w:pPr>
      <w:r>
        <w:t xml:space="preserve">14. Alerts, Data Sources &amp; Settings</w:t>
      </w:r>
    </w:p>
    <w:p>
      <w:pPr>
        <w:pStyle w:val="Heading2"/>
      </w:pPr>
      <w:r>
        <w:t xml:space="preserve">14.1 Alerts and Notifications</w:t>
      </w:r>
    </w:p>
    <w:p>
      <w:pPr>
        <w:spacing w:after="120" w:line="264"/>
      </w:pPr>
      <w:r>
        <w:rPr>
          <w:rFonts w:ascii="Arial" w:cs="Arial" w:eastAsia="Arial" w:hAnsi="Arial"/>
          <w:color w:val="1A2332"/>
          <w:sz w:val="20"/>
          <w:szCs w:val="20"/>
        </w:rPr>
        <w:t xml:space="preserve">An automated background scanner runs hourly. When it detects a RED-level conjunction involving one of your watchlist satellites, an email alert is sent to your registered address. Configure threshold (RED only, or YELLOW + RED) and frequency (immediate, hourly digest, daily digest) in Settings. Multi-channel notification is supported.</w:t>
      </w:r>
    </w:p>
    <w:p>
      <w:pPr>
        <w:pStyle w:val="Heading2"/>
      </w:pPr>
      <w:r>
        <w:t xml:space="preserve">14.2 Data Sources and Refresh Cycles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700"/>
        <w:gridCol w:w="1860"/>
        <w:gridCol w:w="4800"/>
      </w:tblGrid>
      <w:tr>
        <w:trPr>
          <w:tblHeader/>
        </w:trPr>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Data Source</w:t>
            </w:r>
          </w:p>
        </w:tc>
        <w:tc>
          <w:tcPr>
            <w:tcW w:type="dxa" w:w="18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Refresh</w:t>
            </w:r>
          </w:p>
        </w:tc>
        <w:tc>
          <w:tcPr>
            <w:tcW w:type="dxa" w:w="48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Notes</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(conjunctions)</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cdm_public, automated cron</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TLE</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 h (cache)</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Celestrak + Space-Track, deduplicated</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RE / FG</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 h (cron)</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Re-entry / Fragmentation services via OAuth2</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 weather</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NOAA SWPC: Kp, F10.7, X-ray, alerts</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Launch schedule</w:t>
            </w:r>
          </w:p>
        </w:tc>
        <w:tc>
          <w:tcPr>
            <w:tcW w:type="dxa" w:w="18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Daily</w:t>
            </w:r>
          </w:p>
        </w:tc>
        <w:tc>
          <w:tcPr>
            <w:tcW w:type="dxa" w:w="48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launch API + launch screening</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output</w:t>
            </w:r>
          </w:p>
        </w:tc>
        <w:tc>
          <w:tcPr>
            <w:tcW w:type="dxa" w:w="18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On-demand + hourly</w:t>
            </w:r>
          </w:p>
        </w:tc>
        <w:tc>
          <w:tcPr>
            <w:tcW w:type="dxa" w:w="48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User-triggered or background scanner</w:t>
            </w:r>
          </w:p>
        </w:tc>
      </w:tr>
    </w:tbl>
    <w:p>
      <w:pPr>
        <w:pStyle w:val="Heading2"/>
      </w:pPr>
      <w:r>
        <w:t xml:space="preserve">14.3 Settings</w:t>
      </w:r>
    </w:p>
    <w:p>
      <w:pPr>
        <w:spacing w:after="120" w:line="264"/>
      </w:pPr>
      <w:r>
        <w:rPr>
          <w:rFonts w:ascii="Arial" w:cs="Arial" w:eastAsia="Arial" w:hAnsi="Arial"/>
          <w:color w:val="1A2332"/>
          <w:sz w:val="20"/>
          <w:szCs w:val="20"/>
        </w:rPr>
        <w:t xml:space="preserve">Settings provides an email-alert toggle and minimum-severity selector, password change, and a confidence-guidance playbook for handling LOW / MEDIUM / HIGH confidence while real covariance calibration is pending.</w:t>
      </w:r>
    </w:p>
    <w:p>
      <w:pPr>
        <w:pStyle w:val="Heading1"/>
      </w:pPr>
      <w:r>
        <w:t xml:space="preserve">15. Glossary</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000"/>
        <w:gridCol w:w="7360"/>
      </w:tblGrid>
      <w:tr>
        <w:trPr>
          <w:tblHeader/>
        </w:trPr>
        <w:tc>
          <w:tcPr>
            <w:tcW w:type="dxa" w:w="2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Term</w:t>
            </w:r>
          </w:p>
        </w:tc>
        <w:tc>
          <w:tcPr>
            <w:tcW w:type="dxa" w:w="73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Definition</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Conjunction Data Message — close-approach prediction published via Space-Track.</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TCA</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Time of Closest Approach.</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Probability of Collision.</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TLE</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Two-Line Element set describing an object's orbit.</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NORAD ID</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Five-digit catalog number from the 18th SDS.</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LEO / VLEO</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Low Earth Orbit (200–2000 km) / Very Low Earth Orbit (below ~450 km, drag-dominated).</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HBR</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Hard Body Radius — combined object size used in Pc (default 10 m).</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σ (sigma)</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Combined position uncertainty (default 100 m where covariance is unavailable).</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ΔV</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Velocity change for a maneuver (m/s).</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1992 method for Pc via Bessel-function integration.</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Cascade analysis</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Assessment of whether a maneuver creates new collision risks.</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NRLMSIS 2.1</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Atmospheric density model used for VLEO drag (USSA76 fallback).</w:t>
            </w:r>
          </w:p>
        </w:tc>
      </w:tr>
      <w:tr>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SHAP</w:t>
            </w:r>
          </w:p>
        </w:tc>
        <w:tc>
          <w:tcPr>
            <w:tcW w:type="dxa" w:w="73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Feature-attribution method giving per-prediction explainability for ML Layer 1.</w:t>
            </w:r>
          </w:p>
        </w:tc>
      </w:tr>
      <w:tr>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 NOAA SWPC</w:t>
            </w:r>
          </w:p>
        </w:tc>
        <w:tc>
          <w:tcPr>
            <w:tcW w:type="dxa" w:w="73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surveillance &amp; tracking service / NOAA Space Weather Prediction Center.</w:t>
            </w:r>
          </w:p>
        </w:tc>
      </w:tr>
    </w:tbl>
    <w:p>
      <w:pPr>
        <w:pStyle w:val="Heading1"/>
      </w:pPr>
      <w:r>
        <w:t xml:space="preserve">16. Support and Contact</w:t>
      </w:r>
    </w:p>
    <w:p>
      <w:pPr>
        <w:spacing w:after="120" w:line="264"/>
      </w:pPr>
      <w:r>
        <w:rPr>
          <w:rFonts w:ascii="Arial" w:cs="Arial" w:eastAsia="Arial" w:hAnsi="Arial"/>
          <w:b/>
          <w:bCs/>
          <w:color w:val="1A2332"/>
          <w:sz w:val="20"/>
          <w:szCs w:val="20"/>
        </w:rPr>
        <w:t xml:space="preserve">Email: </w:t>
      </w:r>
      <w:r>
        <w:rPr>
          <w:rFonts w:ascii="Consolas" w:cs="Consolas" w:eastAsia="Consolas" w:hAnsi="Consolas"/>
          <w:color w:val="13294B"/>
          <w:sz w:val="18"/>
          <w:szCs w:val="18"/>
        </w:rPr>
        <w:t xml:space="preserve">mustafa@casplatform.com</w:t>
      </w:r>
      <w:r>
        <w:rPr>
          <w:rFonts w:ascii="Arial" w:cs="Arial" w:eastAsia="Arial" w:hAnsi="Arial"/>
          <w:color w:val="1A2332"/>
          <w:sz w:val="20"/>
          <w:szCs w:val="20"/>
        </w:rPr>
        <w:t xml:space="preserve">    Web: </w:t>
      </w:r>
      <w:r>
        <w:rPr>
          <w:rFonts w:ascii="Consolas" w:cs="Consolas" w:eastAsia="Consolas" w:hAnsi="Consolas"/>
          <w:color w:val="13294B"/>
          <w:sz w:val="18"/>
          <w:szCs w:val="18"/>
        </w:rPr>
        <w:t xml:space="preserve">casplatform.com</w:t>
      </w:r>
    </w:p>
    <w:p>
      <w:pPr>
        <w:spacing w:after="160"/>
      </w:pPr>
      <w:r>
        <w:t xml:space="preserve"/>
      </w:r>
    </w:p>
    <w:p>
      <w:pPr>
        <w:pBdr>
          <w:bottom w:val="single" w:color="0097B2" w:sz="8" w:space="1"/>
        </w:pBdr>
        <w:spacing w:after="60" w:before="60"/>
      </w:pPr>
      <w:r>
        <w:t xml:space="preserve"/>
      </w:r>
    </w:p>
    <w:p>
      <w:pPr>
        <w:spacing w:after="120" w:line="264"/>
      </w:pPr>
      <w:r>
        <w:rPr>
          <w:rFonts w:ascii="Arial" w:cs="Arial" w:eastAsia="Arial" w:hAnsi="Arial"/>
          <w:i/>
          <w:iCs/>
          <w:color w:val="5A7A94"/>
          <w:sz w:val="18"/>
          <w:szCs w:val="18"/>
        </w:rPr>
        <w:t xml:space="preserve">CAS is developed and operated as an independent European conjunction decision support platform. All derived analysis is processed within the European Union. Raw observational data is sourced from publicly accessible international providers under their respective access terms.</w:t>
      </w:r>
    </w:p>
    <w:p>
      <w:pPr>
        <w:spacing w:after="120" w:line="264"/>
        <w:jc w:val="center"/>
      </w:pPr>
      <w:r>
        <w:rPr>
          <w:rFonts w:ascii="Arial" w:cs="Arial" w:eastAsia="Arial" w:hAnsi="Arial"/>
          <w:b/>
          <w:bCs/>
          <w:color w:val="0B1F3A"/>
          <w:sz w:val="20"/>
          <w:szCs w:val="20"/>
        </w:rPr>
        <w:t xml:space="preserve">— End of User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4"/>
      </w:pBdr>
      <w:tabs>
        <w:tab w:val="center" w:pos="4680"/>
        <w:tab w:val="right" w:pos="9360"/>
      </w:tabs>
      <w:spacing w:before="0"/>
    </w:pPr>
    <w:r>
      <w:rPr>
        <w:rFonts w:ascii="Consolas" w:cs="Consolas" w:eastAsia="Consolas" w:hAnsi="Consolas"/>
        <w:color w:val="5A7A94"/>
        <w:sz w:val="16"/>
        <w:szCs w:val="16"/>
      </w:rPr>
      <w:t xml:space="preserve">CAS-UG-002 · v2.0</w:t>
    </w:r>
    <w:r>
      <w:rPr>
        <w:rFonts w:ascii="Consolas" w:cs="Consolas" w:eastAsia="Consolas" w:hAnsi="Consolas"/>
        <w:color w:val="5A7A94"/>
        <w:sz w:val="16"/>
        <w:szCs w:val="16"/>
      </w:rPr>
      <w:t xml:space="preserve">	CONFIDENTIAL — PUBLIC</w:t>
    </w:r>
    <w:r>
      <w:rPr>
        <w:rFonts w:ascii="Consolas" w:cs="Consolas" w:eastAsia="Consolas" w:hAnsi="Consolas"/>
        <w:color w:val="5A7A9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tabs>
        <w:tab w:val="right" w:pos="9360"/>
      </w:tabs>
      <w:spacing w:after="0"/>
    </w:pPr>
    <w:r>
      <w:rPr>
        <w:rFonts w:ascii="Consolas" w:cs="Consolas" w:eastAsia="Consolas" w:hAnsi="Consolas"/>
        <w:b/>
        <w:bCs/>
        <w:color w:val="0097B2"/>
        <w:spacing w:val="20"/>
        <w:sz w:val="16"/>
        <w:szCs w:val="16"/>
      </w:rPr>
      <w:t xml:space="preserve">CAS PLATFORM</w:t>
    </w:r>
    <w:r>
      <w:rPr>
        <w:rFonts w:ascii="Consolas" w:cs="Consolas" w:eastAsia="Consolas" w:hAnsi="Consolas"/>
        <w:color w:val="5A7A94"/>
        <w:sz w:val="16"/>
        <w:szCs w:val="16"/>
      </w:rPr>
      <w:t xml:space="preserve">	Operator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7B2" w:sz="8" w:space="6"/>
      </w:pBdr>
      <w:spacing w:after="140" w:before="36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3294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97B2"/>
      <w:sz w:val="21"/>
      <w:szCs w:val="21"/>
    </w:rPr>
  </w:style>
  <w:style w:type="paragraph" w:styleId="Normal">
    <w:name w:val="Normal"/>
    <w:pPr>
      <w:spacing w:after="120" w:line="264"/>
    </w:pPr>
    <w:rPr>
      <w:rFonts w:ascii="Arial" w:cs="Arial" w:eastAsia="Arial" w:hAnsi="Arial"/>
      <w:color w:val="1A23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Operator User Guide v2.0</dc:title>
  <dc:creator>CAS Platform</dc:creator>
  <cp:lastModifiedBy>Un-named</cp:lastModifiedBy>
  <cp:revision>1</cp:revision>
  <dcterms:created xsi:type="dcterms:W3CDTF">2026-06-22T18:58:53.000Z</dcterms:created>
  <dcterms:modified xsi:type="dcterms:W3CDTF">2026-06-22T18:58:53.000Z</dcterms:modified>
</cp:coreProperties>
</file>

<file path=docProps/custom.xml><?xml version="1.0" encoding="utf-8"?>
<Properties xmlns="http://schemas.openxmlformats.org/officeDocument/2006/custom-properties" xmlns:vt="http://schemas.openxmlformats.org/officeDocument/2006/docPropsVTypes"/>
</file>