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 w:line="20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97B2"/>
          <w:spacing w:val="80"/>
          <w:sz w:val="22"/>
          <w:szCs w:val="22"/>
        </w:rPr>
        <w:t xml:space="preserve">CAS PLATFORM</w:t>
      </w:r>
    </w:p>
    <w:p>
      <w:pPr>
        <w:spacing w:after="800" w:before="0"/>
        <w:jc w:val="center"/>
      </w:pPr>
      <w:r>
        <w:rPr>
          <w:rFonts w:ascii="Consolas" w:cs="Consolas" w:eastAsia="Consolas" w:hAnsi="Consolas"/>
          <w:color w:val="5A6E84"/>
          <w:spacing w:val="40"/>
          <w:sz w:val="18"/>
          <w:szCs w:val="18"/>
        </w:rPr>
        <w:t xml:space="preserve">SOFTWARE REQUIREMENTS SPECIFICATION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B1F3A"/>
          <w:sz w:val="64"/>
          <w:szCs w:val="64"/>
        </w:rPr>
        <w:t xml:space="preserve">CAS Platform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152D52"/>
          <w:sz w:val="28"/>
          <w:szCs w:val="28"/>
        </w:rPr>
        <w:t xml:space="preserve">Software Requirements Specification</w:t>
      </w:r>
    </w:p>
    <w:p>
      <w:pPr>
        <w:pBdr>
          <w:bottom w:val="single" w:color="0097B2" w:sz="12" w:space="1"/>
        </w:pBdr>
        <w:spacing w:after="240" w:before="0"/>
      </w:pPr>
      <w:r>
        <w:t xml:space="preserve"/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2448"/>
        <w:gridCol w:w="2448"/>
        <w:gridCol w:w="2448"/>
      </w:tblGrid>
      <w:tr>
        <w:trPr>
          <w:tblHeader w:val="false"/>
        </w:trPr>
        <w:tc>
          <w:tcPr>
            <w:tcW w:type="dxa" w:w="2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Consolas" w:cs="Consolas" w:eastAsia="Consolas" w:hAnsi="Consolas"/>
                <w:color w:val="5A6E84"/>
                <w:spacing w:val="30"/>
                <w:sz w:val="14"/>
                <w:szCs w:val="14"/>
              </w:rPr>
              <w:t xml:space="preserve">VERSION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v3.0</w:t>
            </w:r>
          </w:p>
        </w:tc>
        <w:tc>
          <w:tcPr>
            <w:tcW w:type="dxa" w:w="2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Consolas" w:cs="Consolas" w:eastAsia="Consolas" w:hAnsi="Consolas"/>
                <w:color w:val="5A6E84"/>
                <w:spacing w:val="30"/>
                <w:sz w:val="14"/>
                <w:szCs w:val="14"/>
              </w:rPr>
              <w:t xml:space="preserve">DATE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April 2026</w:t>
            </w:r>
          </w:p>
        </w:tc>
        <w:tc>
          <w:tcPr>
            <w:tcW w:type="dxa" w:w="2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Consolas" w:cs="Consolas" w:eastAsia="Consolas" w:hAnsi="Consolas"/>
                <w:color w:val="5A6E84"/>
                <w:spacing w:val="30"/>
                <w:sz w:val="14"/>
                <w:szCs w:val="14"/>
              </w:rPr>
              <w:t xml:space="preserve">MATURITY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2"/>
                <w:szCs w:val="22"/>
              </w:rPr>
              <w:t xml:space="preserve">TRL 5</w:t>
            </w:r>
          </w:p>
        </w:tc>
        <w:tc>
          <w:tcPr>
            <w:tcW w:type="dxa" w:w="2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Consolas" w:cs="Consolas" w:eastAsia="Consolas" w:hAnsi="Consolas"/>
                <w:color w:val="5A6E84"/>
                <w:spacing w:val="30"/>
                <w:sz w:val="14"/>
                <w:szCs w:val="14"/>
              </w:rPr>
              <w:t xml:space="preserve">STATUS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PUBLIC</w:t>
            </w:r>
          </w:p>
        </w:tc>
      </w:tr>
    </w:tbl>
    <w:p>
      <w:pPr>
        <w:pBdr>
          <w:top w:val="single" w:color="0097B2" w:sz="12" w:space="1"/>
        </w:pBdr>
        <w:spacing w:after="0" w:before="240"/>
      </w:pPr>
      <w:r>
        <w:t xml:space="preserve"/>
      </w:r>
    </w:p>
    <w:p>
      <w:pPr>
        <w:spacing w:after="2400" w:before="0" w:line="200"/>
      </w:pPr>
      <w:r>
        <w:t xml:space="preserve"/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color w:val="5A6E84"/>
          <w:spacing w:val="30"/>
          <w:sz w:val="18"/>
          <w:szCs w:val="18"/>
        </w:rPr>
        <w:t xml:space="preserve">casplatform.com</w:t>
      </w:r>
    </w:p>
    <w:p>
      <w:r>
        <w:br w:type="page"/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Document Information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92"/>
      </w:tblGrid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 Platform — Software Requirements 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CAS-SRS-003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Version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Date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April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Standard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ECSS-E-ST-40C (Software Engineering)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Maturity Level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TRL 5 (ESA ISO 16290)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Engine Version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v0.7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120" w:before="0" w:line="20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Revision History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992"/>
      </w:tblGrid>
      <w:tr>
        <w:trPr>
          <w:tblHeader/>
        </w:trPr>
        <w:tc>
          <w:tcPr>
            <w:tcW w:type="dxa" w:w="1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Date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March 2026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Initial baseline. Pc computation, CDM ingestion, watchlist, cascade analysis v1, web portal.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April 2026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Decision Engine v0.7, 72-hour Trend Analysis, Alert Funnel, Admin Panel, tier enforcement, theme support.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April 2026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EU SST integration (Re-entry + Fragmentation feeds), NOAA SWPC space weather module, email verification flow, contact form pipeline, Historical Events reference set, multi-source catalog ingestion (28K+ objects), VLEO support roadmap (Q3 2026).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1. Scope and Purpose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1.1 System Purpose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CAS (Conjunction Decision Support) is a web-based platform that translates raw conjunction data into actionable decisions for satellite operators. The system ingests Conjunction Data Messages (CDMs) from public sources, performs independent collision-probability computation, classifies risk per-event, and produces operator-language recommendations including delta-V guidance and cascade-screened maneuver candidates.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1.2 Scope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This specification covers Engine v0.7 and the associated platform layer. The system comprises: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Data layer: Space-Track CDM ingestion, Celestrak TLE proxy, EU SST OAuth2 client, NOAA SWPC public feeds, PostgreSQL persistence.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Analysis layer: Foster/Chan probability of collision, RK4+J2 propagation, Decision Engine, Trend Analyzer, Cascade Engine.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Platform layer: HTTP API server, JWT and API-key authentication, hourly background scanner, transactional email.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User layer: Operator Portal, 3D Live Catalog, REST API, Admin Panel, downloadable documentation.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1.3 Out of Scope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Geostationary orbit analysis, autonomous maneuver execution, generation of independent sensor data, and machine-learning prediction layers are out of scope for v3.0. ML layers are planned for TRL 6+ following the public release of NASA CDM datasets.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1.4 Operational Regime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The current release supports the LEO regime (200–2000 km altitude). VLEO support (200–450 km, drag-aware decision engine) is on the roadmap for Q3 2026 release.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2. System Overview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2.1 Architecture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CAS runs as a single-server monolithic deployment. A Python HTTP engine listens on the application port, managed by systemd. Nginx provides TLS termination and reverse proxy duties. A CDN sits in front for static asset delivery and edge caching. PostgreSQL is the primary persistence layer.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The deployment region is the European Union, ensuring all derived analysis remains within EU jurisdiction.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2.2 User Roles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92"/>
      </w:tblGrid>
      <w:tr>
        <w:trPr>
          <w:tblHeader/>
        </w:trPr>
        <w:tc>
          <w:tcPr>
            <w:tcW w:type="dxa" w:w="1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Role</w:t>
            </w:r>
          </w:p>
        </w:tc>
        <w:tc>
          <w:tcPr>
            <w:tcW w:type="dxa" w:w="7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Capabilities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Admin</w:t>
            </w:r>
          </w:p>
        </w:tc>
        <w:tc>
          <w:tcPr>
            <w:tcW w:type="dxa" w:w="7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All operator capabilities plus user lifecycle management, tier assignment, and audit log access via the Admin Panel.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Operator</w:t>
            </w:r>
          </w:p>
        </w:tc>
        <w:tc>
          <w:tcPr>
            <w:tcW w:type="dxa" w:w="7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Watchlist management, conjunction screening, Decision Engine output, trend analysis, cascade analysis, REST API access.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Viewer</w:t>
            </w:r>
          </w:p>
        </w:tc>
        <w:tc>
          <w:tcPr>
            <w:tcW w:type="dxa" w:w="7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Read-only access to dashboards and conjunction history.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2.3 Subscription Tiers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900"/>
        <w:gridCol w:w="1700"/>
        <w:gridCol w:w="1892"/>
      </w:tblGrid>
      <w:tr>
        <w:trPr>
          <w:tblHeader/>
        </w:trPr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Satellites</w:t>
            </w:r>
          </w:p>
        </w:tc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Data Latency</w:t>
            </w:r>
          </w:p>
        </w:tc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Cascade</w:t>
            </w:r>
          </w:p>
        </w:tc>
        <w:tc>
          <w:tcPr>
            <w:tcW w:type="dxa" w:w="18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API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$0/mo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Delayed</w:t>
            </w:r>
          </w:p>
        </w:tc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—</w:t>
            </w:r>
          </w:p>
        </w:tc>
        <w:tc>
          <w:tcPr>
            <w:tcW w:type="dxa" w:w="18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$999/mo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Real-time</w:t>
            </w:r>
          </w:p>
        </w:tc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Limited</w:t>
            </w:r>
          </w:p>
        </w:tc>
        <w:tc>
          <w:tcPr>
            <w:tcW w:type="dxa" w:w="18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Pro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$1,999/mo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Real-time</w:t>
            </w:r>
          </w:p>
        </w:tc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Full</w:t>
            </w:r>
          </w:p>
        </w:tc>
        <w:tc>
          <w:tcPr>
            <w:tcW w:type="dxa" w:w="18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Custom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Unlimited</w:t>
            </w:r>
          </w:p>
        </w:tc>
        <w:tc>
          <w:tcPr>
            <w:tcW w:type="dxa" w:w="1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Real-time + SLA</w:t>
            </w:r>
          </w:p>
        </w:tc>
        <w:tc>
          <w:tcPr>
            <w:tcW w:type="dxa" w:w="1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Full + Priority</w:t>
            </w:r>
          </w:p>
        </w:tc>
        <w:tc>
          <w:tcPr>
            <w:tcW w:type="dxa" w:w="18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Custom</w:t>
            </w:r>
          </w:p>
        </w:tc>
      </w:tr>
    </w:tbl>
    <w:p>
      <w:pPr>
        <w:spacing w:after="80" w:before="30" w:line="240"/>
      </w:pPr>
      <w:r>
        <w:rPr>
          <w:rFonts w:ascii="Calibri" w:cs="Calibri" w:eastAsia="Calibri" w:hAnsi="Calibri"/>
          <w:i/>
          <w:iCs/>
          <w:color w:val="5A6E84"/>
          <w:sz w:val="16"/>
          <w:szCs w:val="16"/>
        </w:rPr>
        <w:t xml:space="preserve">During the beta period, all tier features are accessible. Tier enforcement activates at general availability.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3. Functional Requirements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3.1 Data Layer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Space-Track CDM ingestion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system shall fetch CDMs from the Space-Track cdm_public endpoint hourly via cron. Filters: TCA window 3 days, minimum Pc 1×10⁻⁴.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CDM persistence with deduplication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Each CDM record (cdm_id, sat1, sat2, norad1, norad2, tca, pc, miss_distance, relative_velocity) shall be stored in PostgreSQL using UPSERT on cdm_id to prevent duplication.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Celestrak TLE proxy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/tle/&lt;group&gt; endpoint shall fetch TLE data from Celestrak and serve it as JSON. Cache TTL: 6 hours.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Multi-source catalog ingestion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catalog shall ingest TLE data from Celestrak (multiple groups: active, debris families, rocket bodies) and Space-Track (LEO debris and rocket bodies). Deduplication on NORAD ID.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Database indexes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conjunction_events table shall maintain a composite index on (norad1, norad2, tca) and a unique constraint on cdm_id.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3.2 Probability of Collision Engine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FR-P-001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Foster/Chan 2D Pc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collision_probability() function shall implement the Foster/Chan 2D Gaussian method. Sigma is currently fixed at 100 m (real covariance integration is a TRL 6 target pending ODR access).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FR-P-002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Orbital propagation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Propagation shall use 4th-order Runge-Kutta with J2 perturbation.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FR-P-003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Risk classification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Pc &gt; 1×10⁻⁴ → RED; Pc &gt; 1×10⁻⁵ → YELLOW; Pc ≤ 1×10⁻⁵ → GREEN. Strict greater-than comparison (conservative design).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FR-P-004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Pc consistency validation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CAS Pc values shall be consistent with Foster/Chan analytical reference to ≥99% across the validated CDM corpus. Note: consistency is not equivalent to absolute accuracy in the absence of full covariance.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FR-P-005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Human-readable Pc format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All Pc values shall be presented in '1 in N' format in user-facing surfaces, with scientific notation in operator-grade displays alongside threshold context.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3.3 Decision Engine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FR-DE-001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Automated decision generation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Each conjunction event shall produce recommendation, priority, confidence, and maneuver_summary fields automatically.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FR-DE-002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Recommendation taxonomy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Three values: 'Maneuver advised' (RED or Pc ≥ 1×10⁻⁴), 'Monitor' (YELLOW or TCA passed), 'No action' (GREEN). RED downgraded to Monitor when TCA has elapsed.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FR-DE-003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Priority scoring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0–100 score combining Pc weight (0–40), miss-distance weight (0–30), and TCA proximity weight (0–30). Score ≥ 60 → HIGH; ≥ 30 → MEDIUM; otherwise LOW.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FR-DE-004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Confidence rating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Three levels: HIGH (TCA &lt; 12 h, extreme Pc), MEDIUM (TCA 12–48 h or moderate Pc), LOW (TCA &gt; 48 h or ambiguous).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FR-DE-005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Maneuver summary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Operator-language summary in form: 'Raise orbit ~Xm within Yh; collision probability Z exceeds threshold.' Delta-V, altitude change, time window computed automatically.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FR-DE-006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Alert funnel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alert_summary shall expose {total, review, critical}: total=all CDMs, review=YELLOW+RED, critical=RED only.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FR-DE-007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Decision persistence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decision_results table shall record norad_id, recommendation, priority, confidence, maneuver_summary, max_pc, min_miss_m, and timestamp per evaluation.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FR-DE-008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Decision API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GET /api/decision (recent), /api/decision/dashboard (aggregate + funnel), /api/decision/scan (fresh scan + decisions).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FR-DE-009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Operator decision recording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POST /api/operator-decision shall record an operator's response (APPROVE MANEUVER / CONTINUE MONITORING) with timestamp, conjunction reference, and optional notes for audit trail.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3.4 72-Hour Trend Analysis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FR-TR-001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Trend computation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compute_trend() shall analyze 72 hours of historical Pc per satellite, bucketed in 6-hour windows, and produce a slope value via linear regression.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FR-TR-002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Trend classification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Three states: 'increasing', 'decreasing', 'stable' based on slope direction and magnitude.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FR-TR-003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Risk forecast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_simple_forecast() shall project the current trend forward and output 'escalating', 'de-escalating', or 'stable' for the next 72 hours.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FR-TR-004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Trend API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GET /api/trend/&lt;norad&gt; for per-satellite trend; GET /api/trend/forecast for full watchlist forecast.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FR-TR-005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Insufficient data flag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system shall flag insufficient data when fewer than three observations exist in the trend window.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3.5 Cascade Analysis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FR-CA-001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Maneuver candidate generation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generate_maneuver_candidates() shall produce 12 candidates spanning 4 directions (prograde, retrograde, normal, anti-normal) × 3 delta-V magnitudes (0.1, 0.5, 1.0 m/s).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FR-CA-002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Catalog screening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fetch_catalog_tles() shall retrieve all tracked objects within ±100 km of target altitude. Expected scan size: 10,000+ objects.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FR-CA-003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Secondary risk evaluation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For each maneuver candidate, the post-maneuver trajectory shall be propagated and screened against the catalog. Approaches under 10 km flagged as secondary risk.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FR-CA-004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Pareto optimization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select_optimal_maneuver_v2() shall select the lowest delta-V candidate with zero secondary risk.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FR-CA-005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Cascade API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POST /cascade with {norad_id, tle_line1, tle_line2, target_norad}. Response includes candidate list, optimal selection, and secondary risk report.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FR-CA-006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Full cascade analysis shall complete within ~10 seconds via parallelized scanning.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3.6 EU SST Integration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FR-EU-001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OAuth2 client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system shall authenticate with the EU SST API via OAuth2 against the Keycloak identity provider, refreshing access tokens as required.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FR-EU-002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Re-entry feed sync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Re-entry Analysis service shall be polled every 6 hours via cron. Events stored in eusst_re_events with fields: object_name, norad_id, reentry_epoch, window_start, window_end, risk_level, areas_of_interest, reentry_altitude, inclination, apogee, perigee.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FR-EU-003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Fragmentation feed sync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Fragmentation Analysis service shall be polled every 6 hours. Events stored in eusst_fg_events with fields: object_name, norad_id, fragmentation_epoch, regime, parent_object.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FR-EU-004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Incremental sync state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eusst_sync_state table shall track last-successful-sync timestamps per service to support incremental OData pagination.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FR-EU-005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Tier-aware presentation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EU SST raw payloads shall not be exposed to end users. Only derived/aggregate analysis shall be visible (per EU SST Terms of Service §5.1). Aggregate views are accessible to all tiers; per-event detail is gated by tier.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FR-EU-006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Portal UI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Three sub-sections: Aggregate (all tiers), Re-entries (Starter+), Fragmentations (Starter+). Featured Events highlighted with countdown timers for upcoming reentries.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3.7 Space Weather Module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FR-SW-001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NOAA SWPC ingestion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system shall poll NOAA Space Weather Prediction Center public feeds hourly for: geomagnetic Kp index, F10.7 solar radio flux, X-ray peak class, and recent NOAA alerts.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FR-SW-002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Storage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Hourly snapshots shall be persisted with timestamp, Kp, F10.7, X-ray peak, and label fields, supporting 7-day historical retrieval.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FR-SW-003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Operational impact display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portal shall display current state with operator-language interpretation: Kp ≥ 5 flagged as a TLE accuracy concern; high F10.7 flagged as elevated atmospheric drag.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FR-SW-004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Overview integration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An Overview status card shall present current Kp, F10.7, and X-ray peak with an interpretive label (Quiet / Elevated / Strong).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FR-SW-005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API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GET /api/spaceweather/current and GET /api/spaceweather/history?days=N for programmatic access.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3.8 Watchlist and Satellite Management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FR-WL-001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Add satellite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POST /watchlist/add with norad_id and sat_name (TLE optional). Tier limit enforced server-side.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FR-WL-002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Remove satellite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POST /watchlist/remove with norad_id.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FR-WL-003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List watchlist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GET /watchlist returns all satellites for the authenticated user.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FR-WL-004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Automated scanning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background scanner shall run hourly using parallel execution to evaluate every watchlisted satellite.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FR-WL-005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Tier enforcement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Add operations exceeding the tier satellite limit shall return HTTP 403 with an upgrade message.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3.9 Admin Panel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FR-AD-001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User CRUD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POST /admin/user/create, /update, /delete, /set-tier, /toggle. Admin role required.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FR-AD-002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System statistics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GET /admin/stats returns user counts, tier distribution, watchlist totals, CDM totals.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FR-AD-003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Audit log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All admin operations shall be persisted to admin_log with action, target_user_id, details, admin_user_id, and timestamp.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FR-AD-004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User listing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GET /admin/users returns all users with tier, watchlist count, and last login timestamp.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3.10 Authentication and Account Lifecycle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FR-AU-001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JWT issuance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POST /auth/login accepts email and password and returns a JWT (24h TTL). Subsequent requests use Authorization: Bearer &lt;token&gt;.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FR-AU-002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API key authentication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Each user receives an API key on registration. Format: cas_&lt;32-char-hex&gt;. Header: Authorization: ApiKey &lt;key&gt;. POST /auth/regenerate-key issues a new key.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FR-AU-003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Registration with email verification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POST /auth/register requires email, password, and name. The system generates an API key and dispatches a verification email containing a single-use activation link. Account features remain gated until verification completes.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FR-AU-004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Verification email deliverability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Verification emails shall be signed with SPF and DKIM and include RFC 8058 List-Unsubscribe headers.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FR-AU-005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Forgotten-password flow via single-use email link with bounded TTL.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3.11 Email Alerts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FR-EM-001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Alert trigger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When the background scanner detects a RED or YELLOW conjunction involving a watchlisted satellite, an alert email shall be dispatched to the satellite owner.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FR-EM-002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Watchlist filter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Alerts shall only be issued for satellites present in the recipient's watchlist.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FR-EM-003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Configurable threshold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Operators may configure the minimum severity for alerts via the Settings panel.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FR-EM-004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SMTP transport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Outbound mail shall use authenticated SMTP via the platform mail provider.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3.12 Contact Form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FR-CT-001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Submission endpoint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POST /api/contact accepts name, email, organization, subject, message. Persisted to contact_submissions.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FR-CT-002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Anti-abuse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Honeypot field, rate limit of 3 submissions per hour per IP, and minimum-length validation on message body.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FR-CT-003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Each submission triggers a multipart SMTP email to the platform contact address.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3.13 Historical Events Reference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FR-HE-001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Reference set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portal shall present a curated set of high-Pc reference conjunctions sourced from real Space-Track CDMs. Each entry shall include CDM identifier, NORAD pair, TCA, miss distance, Pc with threshold context, CAS verdict, and observed outcome.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FR-HE-002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No synthetic data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Reference entries shall be drawn exclusively from real historical events. Synthetic data is prohibited in this view.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4. Non-Functional Requirements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92"/>
      </w:tblGrid>
      <w:tr>
        <w:trPr>
          <w:tblHeader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NFR-001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Uptime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The system shall operate continuously, recovering automatically from process termination via systemd watchdog.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NFR-002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Median response time below 500 ms for read endpoints. Cascade analysis below 15 seconds.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NFR-003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Pc consistency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Pc computation shall remain consistent with Foster/Chan analytical reference to ≥99% across the validated corpus.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NFR-004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Security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All traffic over HTTPS via CDN edge certificates. JWT secrets rotated on schedule. bcrypt password hashing. Honeypot and rate-limit on public submission endpoints.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NFR-005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Network hardening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Origin server firewall (UFW) restricts inbound 80/443 to CDN IP ranges. fail2ban active on SSH.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NFR-006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EU-resident infrastructure, data minimization, user deletion via Admin Panel, Privacy Policy and Terms of Service published.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NFR-007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EU SST data handling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Compliance with EU SST Terms of Service §5.1: raw third-party data shall not be redistributed; only derived analysis is exposed to end users.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NFR-008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Logging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All API requests and error conditions shall be persisted to server logs with structured fields.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NFR-009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Theme support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Portal and landing pages shall support dark and light themes; user preference persisted in localStorage.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/>
                <w:bCs/>
                <w:color w:val="0E5A8A"/>
                <w:sz w:val="17"/>
                <w:szCs w:val="17"/>
              </w:rPr>
              <w:t xml:space="preserve">NFR-010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5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2332"/>
                <w:sz w:val="17"/>
                <w:szCs w:val="17"/>
              </w:rPr>
              <w:t xml:space="preserve">Interactive elements shall expose keyboard navigation and ARIA roles. Reduced-motion preference shall disable non-essential animations.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5. REST API Reference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All endpoints are accessible via the production hostname. Endpoints requiring authentication are marked with a lock icon (🔒) and require a valid JWT or API key in the Authorization header.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5.1 Public Endpoints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5292"/>
      </w:tblGrid>
      <w:tr>
        <w:trPr>
          <w:tblHeader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Endpoint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/health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System health and feature flags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/api/status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HTML status dashboard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/api/metrics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Prometheus-compatible metrics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/api/history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Recent conjunction events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/api/contact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Submit contact form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Account registration with email verification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Issue JWT token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/auth/verify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Activate account via email link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5.2 Authenticated Endpoints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5292"/>
      </w:tblGrid>
      <w:tr>
        <w:trPr>
          <w:tblHeader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Endpoint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/auth/me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Current user profile and tier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/auth/regenerate-key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Issue new API key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/watchlist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List watchlisted satellites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/watchlist/add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Add satellite (tier limit enforced)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/watchlist/remove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Remove satellite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/watchlist/scan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Scan all watchlist satellites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/api/decision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Recent decision results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/api/decision/dashboard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Aggregate decisions + alert funnel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/api/decision/scan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Trigger fresh scan and recompute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/api/operator-decision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Record operator response (audit trail)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/api/trend/&lt;norad&gt;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72h Pc trend per satellite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/api/trend/forecast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Full watchlist forecast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/cascade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Run cascade analysis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/api/eusst/aggregate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EU SST aggregate summary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/api/eusst/reentries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Re-entry events (derived)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/api/eusst/fragmentations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Fragmentation events (derived)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/api/spaceweather/current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Current Kp / F10.7 / X-ray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/api/spaceweather/history</w:t>
            </w:r>
          </w:p>
        </w:tc>
        <w:tc>
          <w:tcPr>
            <w:tcW w:type="dxa" w:w="5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Historical space weather snapshots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6. Known Limitations and Future Work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6.1 Known Limitations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Covariance matrix: the public Space-Track CDM class does not expose covariance data (CR_R, CT_T, CN_N). A fixed σ = 100 m calibration value is used. ODR (Organizational Account) application is in preparation.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LEO focus: the current release covers LEO (200–2000 km). GEO and deep-space conjunctions are out of scope.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Forecast model: 72h forecasting uses linear extrapolation. Statistical confidence is bounded; users should treat forecasts as indicative only.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Single-server deployment: high-availability redundancy is not yet configured. Hardware or process faults result in service interruption until automatic recovery.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Confidence calibration: in the absence of full covariance, confidence ratings are heuristic. Quantitative confidence scoring is a TRL 6 deliverable.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6.2 TRL 6 Targets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Space-Track expandedspacedata access for full covariance integration.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ML Layer 1 — false-positive reduction trained on large-scale CDM datasets.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Operational pilot deployments with shadow-mode parallel evaluation.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Independent third-party performance validation report.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6.3 VLEO Roadmap (Q3 2026)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A drag-aware decision engine for the Very Low Earth Orbit regime (200–450 km) is in active development. Planned capabilities: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Drag-aware orbit propagation with NRLMSISE-00 atmospheric density.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Pc trend forecasting with continuous-maneuver context.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Maneuver window optimization for re-boost-driven operations.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Drag uncertainty as a first-class input to the decision layer.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Auto-detection of the operational regime: VLEO mode activates below 450 km altitude.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VLEO support will share the existing portal, authentication, and API surface. The engine layer extends rather than replaces the LEO physics model.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7. Database Schema Summary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The PostgreSQL schema includes the following core tables: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Table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users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Account records: email, password hash, role, tier, API key, verification status.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watchlist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Per-user satellite watchlist.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watchlist_results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Per-scan results for watchlist satellites.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conjunction_events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Ingested CDMs with UNIQUE constraint on cdm_id.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decision_results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Decision Engine output history.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operator_decisions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Operator-recorded responses (audit trail).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admin_log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Audit log of admin operations.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notification_prefs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Per-user alert configuration.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contact_submissions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Public contact form submissions.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eusst_re_events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EU SST re-entry analysis events.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eusst_fg_events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EU SST fragmentation analysis events.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eusst_sync_state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Incremental sync watermarks per EU SST service.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spaceweather_history</w:t>
            </w:r>
          </w:p>
        </w:tc>
        <w:tc>
          <w:tcPr>
            <w:tcW w:type="dxa" w:w="73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Hourly NOAA SWPC snapshots.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8. Standards Compliance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ECSS-E-ST-40C — Software Engineering: requirements specification format and traceability.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ESA ISO 16290 — TRL definition: TRL 5 corresponds to component validation in a relevant environment.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GDPR (EU 2016/679) — data protection by design; user rights implemented through Admin Panel.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RFC 8058 — list-unsubscribe headers for email deliverability.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9. Document Contact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For questions concerning this specification: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Email: mustafa@casplatform.com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Web: casplatform.com</w:t>
      </w:r>
    </w:p>
    <w:p>
      <w:pPr>
        <w:spacing w:after="80" w:before="30" w:line="240"/>
      </w:pPr>
      <w:r>
        <w:rPr>
          <w:rFonts w:ascii="Calibri" w:cs="Calibri" w:eastAsia="Calibri" w:hAnsi="Calibri"/>
          <w:i/>
          <w:iCs/>
          <w:color w:val="5A6E84"/>
          <w:sz w:val="16"/>
          <w:szCs w:val="16"/>
        </w:rPr>
        <w:t xml:space="preserve">CAS Platform is an independent European conjunction decision support platform. Data sources include Space-Track, Celestrak, EU SST, and NOAA SWPC. CAS is not affiliated with or endorsed by any data provider. All derived analysis is processed within the European Union.</w:t>
      </w:r>
    </w:p>
    <w:p>
      <w:pPr>
        <w:spacing w:after="120" w:before="0" w:line="20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5A6E84"/>
          <w:sz w:val="18"/>
          <w:szCs w:val="18"/>
        </w:rPr>
        <w:t xml:space="preserve">— End of Specification —</w:t>
      </w:r>
    </w:p>
    <w:sectPr>
      <w:headerReference w:type="default" r:id="rId7"/>
      <w:footerReference w:type="default" r:id="rId8"/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8" w:sz="4" w:space="4"/>
      </w:pBdr>
      <w:tabs>
        <w:tab w:val="right" w:pos="9792"/>
      </w:tabs>
      <w:spacing w:after="0" w:before="60"/>
    </w:pPr>
    <w:r>
      <w:rPr>
        <w:rFonts w:ascii="Consolas" w:cs="Consolas" w:eastAsia="Consolas" w:hAnsi="Consolas"/>
        <w:color w:val="5A6E84"/>
        <w:sz w:val="16"/>
        <w:szCs w:val="16"/>
      </w:rPr>
      <w:t xml:space="preserve">casplatform.com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A6E84"/>
        <w:sz w:val="16"/>
        <w:szCs w:val="16"/>
      </w:rPr>
      <w:t xml:space="preserve">Page </w:t>
    </w:r>
    <w:r>
      <w:rPr>
        <w:rFonts w:ascii="Calibri" w:cs="Calibri" w:eastAsia="Calibri" w:hAnsi="Calibri"/>
        <w:color w:val="5A6E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E84"/>
        <w:sz w:val="16"/>
        <w:szCs w:val="16"/>
      </w:rPr>
      <w:t xml:space="preserve"> of </w:t>
    </w:r>
    <w:r>
      <w:rPr>
        <w:rFonts w:ascii="Calibri" w:cs="Calibri" w:eastAsia="Calibri" w:hAnsi="Calibri"/>
        <w:color w:val="5A6E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8" w:sz="4" w:space="4"/>
      </w:pBdr>
      <w:tabs>
        <w:tab w:val="right" w:pos="9792"/>
      </w:tabs>
      <w:spacing w:after="60" w:before="0"/>
    </w:pPr>
    <w:r>
      <w:rPr>
        <w:rFonts w:ascii="Calibri" w:cs="Calibri" w:eastAsia="Calibri" w:hAnsi="Calibri"/>
        <w:b/>
        <w:bCs/>
        <w:color w:val="0B1F3A"/>
        <w:spacing w:val="30"/>
        <w:sz w:val="16"/>
        <w:szCs w:val="16"/>
      </w:rPr>
      <w:t xml:space="preserve">CAS PLATFORM</w:t>
    </w:r>
    <w:r>
      <w:rPr>
        <w:rFonts w:ascii="Calibri" w:cs="Calibri" w:eastAsia="Calibri" w:hAnsi="Calibri"/>
        <w:color w:val="5A6E84"/>
        <w:sz w:val="16"/>
        <w:szCs w:val="16"/>
      </w:rPr>
      <w:t xml:space="preserve">  ·  </w:t>
    </w:r>
    <w:r>
      <w:rPr>
        <w:rFonts w:ascii="Calibri" w:cs="Calibri" w:eastAsia="Calibri" w:hAnsi="Calibri"/>
        <w:color w:val="5A6E84"/>
        <w:sz w:val="16"/>
        <w:szCs w:val="16"/>
      </w:rPr>
      <w:t xml:space="preserve">CAS Platform — Software Requirements Specification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52D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1A2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Platform — Software Requirements Specification v3.0</dc:title>
  <dc:creator>CAS Platform</dc:creator>
  <dc:description>CAS Platform — Software Requirements Specification v3.0</dc:description>
  <cp:lastModifiedBy>Un-named</cp:lastModifiedBy>
  <cp:revision>1</cp:revision>
  <dcterms:created xsi:type="dcterms:W3CDTF">2026-04-26T05:28:13.313Z</dcterms:created>
  <dcterms:modified xsi:type="dcterms:W3CDTF">2026-04-26T05:28:13.313Z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