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Consolas" w:cs="Consolas" w:eastAsia="Consolas" w:hAnsi="Consolas"/>
          <w:b/>
          <w:bCs/>
          <w:color w:val="0097B2"/>
          <w:spacing w:val="60"/>
          <w:sz w:val="24"/>
          <w:szCs w:val="24"/>
        </w:rPr>
        <w:t xml:space="preserve">CAS PLATFORM</w:t>
      </w:r>
    </w:p>
    <w:p>
      <w:pPr>
        <w:pBdr>
          <w:bottom w:val="single" w:color="0B1F3A" w:sz="18" w:space="8"/>
        </w:pBdr>
        <w:spacing w:after="40" w:before="0"/>
      </w:pPr>
      <w:r>
        <w:rPr>
          <w:rFonts w:ascii="Consolas" w:cs="Consolas" w:eastAsia="Consolas" w:hAnsi="Consolas"/>
          <w:color w:val="5A7A94"/>
          <w:spacing w:val="30"/>
          <w:sz w:val="16"/>
          <w:szCs w:val="16"/>
        </w:rPr>
        <w:t xml:space="preserve">CONJUNCTION DECISION SUPPORT</w:t>
      </w:r>
    </w:p>
    <w:p>
      <w:pPr>
        <w:spacing w:after="1400"/>
      </w:pPr>
      <w:r>
        <w:t xml:space="preserve"/>
      </w:r>
    </w:p>
    <w:p>
      <w:pPr>
        <w:spacing w:after="80"/>
      </w:pPr>
      <w:r>
        <w:rPr>
          <w:rFonts w:ascii="Consolas" w:cs="Consolas" w:eastAsia="Consolas" w:hAnsi="Consolas"/>
          <w:b/>
          <w:bCs/>
          <w:color w:val="0097B2"/>
          <w:spacing w:val="40"/>
          <w:sz w:val="20"/>
          <w:szCs w:val="20"/>
        </w:rPr>
        <w:t xml:space="preserve">TRL 5 OPERATIONAL EVIDENCE REPORT</w:t>
      </w:r>
    </w:p>
    <w:p>
      <w:pPr>
        <w:spacing w:after="60"/>
      </w:pPr>
      <w:r>
        <w:rPr>
          <w:b/>
          <w:bCs/>
          <w:color w:val="0B1F3A"/>
          <w:sz w:val="52"/>
          <w:szCs w:val="52"/>
        </w:rPr>
        <w:t xml:space="preserve">Operational Evidence Report</w:t>
      </w:r>
    </w:p>
    <w:p>
      <w:pPr>
        <w:spacing w:after="0"/>
      </w:pPr>
      <w:r>
        <w:rPr>
          <w:color w:val="5A7A94"/>
          <w:sz w:val="26"/>
          <w:szCs w:val="26"/>
        </w:rPr>
        <w:t xml:space="preserve">CAS Platform · Independent European Conjunction Decision Support</w:t>
      </w:r>
    </w:p>
    <w:p>
      <w:pPr>
        <w:spacing w:after="1600"/>
      </w:pPr>
      <w:r>
        <w:t xml:space="preserve"/>
      </w:r>
    </w:p>
    <w:tbl>
      <w:tblPr>
        <w:tblW w:type="dxa" w:w="9360"/>
        <w:tblBorders>
          <w:top w:val="single" w:color="0097B2" w:sz="4"/>
          <w:left w:val="none"/>
          <w:bottom w:val="single" w:color="0097B2" w:sz="4"/>
          <w:right w:val="none"/>
          <w:insideH w:val="none"/>
          <w:insideV w:val="single" w:color="C9D6E0" w:sz="2"/>
        </w:tblBorders>
      </w:tblPr>
      <w:tblGrid>
        <w:gridCol w:w="2340"/>
        <w:gridCol w:w="2340"/>
        <w:gridCol w:w="2340"/>
        <w:gridCol w:w="2340"/>
      </w:tblGrid>
      <w:tr>
        <w:tc>
          <w:tcPr>
            <w:tcW w:type="dxa" w:w="2340"/>
            <w:shd w:fill="F4F8FB" w:val="clear"/>
            <w:tcMar>
              <w:top w:type="dxa" w:w="60"/>
              <w:left w:type="dxa" w:w="110"/>
              <w:bottom w:type="dxa" w:w="60"/>
              <w:right w:type="dxa" w:w="110"/>
            </w:tcMar>
            <w:vAlign w:val="center"/>
          </w:tcPr>
          <w:p>
            <w:pPr>
              <w:spacing w:after="0" w:line="240"/>
              <w:jc w:val="left"/>
            </w:pPr>
            <w:r>
              <w:rPr>
                <w:rFonts w:ascii="Consolas" w:cs="Consolas" w:eastAsia="Consolas" w:hAnsi="Consolas"/>
                <w:color w:val="5A7A94"/>
                <w:spacing w:val="20"/>
                <w:sz w:val="16"/>
                <w:szCs w:val="16"/>
              </w:rPr>
              <w:t xml:space="preserve">VERSION
</w:t>
            </w:r>
            <w:r>
              <w:br/>
              <w:t xml:space="preserve"/>
            </w:r>
            <w:r>
              <w:rPr>
                <w:b/>
                <w:bCs/>
                <w:color w:val="0B1F3A"/>
                <w:sz w:val="20"/>
                <w:szCs w:val="20"/>
              </w:rPr>
              <w:t xml:space="preserve">3.0</w:t>
            </w:r>
          </w:p>
        </w:tc>
        <w:tc>
          <w:tcPr>
            <w:tcW w:type="dxa" w:w="2340"/>
            <w:shd w:fill="F4F8FB" w:val="clear"/>
            <w:tcMar>
              <w:top w:type="dxa" w:w="60"/>
              <w:left w:type="dxa" w:w="110"/>
              <w:bottom w:type="dxa" w:w="60"/>
              <w:right w:type="dxa" w:w="110"/>
            </w:tcMar>
            <w:vAlign w:val="center"/>
          </w:tcPr>
          <w:p>
            <w:pPr>
              <w:spacing w:after="0" w:line="240"/>
              <w:jc w:val="left"/>
            </w:pPr>
            <w:r>
              <w:rPr>
                <w:rFonts w:ascii="Consolas" w:cs="Consolas" w:eastAsia="Consolas" w:hAnsi="Consolas"/>
                <w:color w:val="5A7A94"/>
                <w:spacing w:val="20"/>
                <w:sz w:val="16"/>
                <w:szCs w:val="16"/>
              </w:rPr>
              <w:t xml:space="preserve">DATE
</w:t>
            </w:r>
            <w:r>
              <w:br/>
              <w:t xml:space="preserve"/>
            </w:r>
            <w:r>
              <w:rPr>
                <w:b/>
                <w:bCs/>
                <w:color w:val="0B1F3A"/>
                <w:sz w:val="20"/>
                <w:szCs w:val="20"/>
              </w:rPr>
              <w:t xml:space="preserve">June 2026</w:t>
            </w:r>
          </w:p>
        </w:tc>
        <w:tc>
          <w:tcPr>
            <w:tcW w:type="dxa" w:w="2340"/>
            <w:shd w:fill="F4F8FB" w:val="clear"/>
            <w:tcMar>
              <w:top w:type="dxa" w:w="60"/>
              <w:left w:type="dxa" w:w="110"/>
              <w:bottom w:type="dxa" w:w="60"/>
              <w:right w:type="dxa" w:w="110"/>
            </w:tcMar>
            <w:vAlign w:val="center"/>
          </w:tcPr>
          <w:p>
            <w:pPr>
              <w:spacing w:after="0" w:line="240"/>
              <w:jc w:val="left"/>
            </w:pPr>
            <w:r>
              <w:rPr>
                <w:rFonts w:ascii="Consolas" w:cs="Consolas" w:eastAsia="Consolas" w:hAnsi="Consolas"/>
                <w:color w:val="5A7A94"/>
                <w:spacing w:val="20"/>
                <w:sz w:val="16"/>
                <w:szCs w:val="16"/>
              </w:rPr>
              <w:t xml:space="preserve">MATURITY
</w:t>
            </w:r>
            <w:r>
              <w:br/>
              <w:t xml:space="preserve"/>
            </w:r>
            <w:r>
              <w:rPr>
                <w:b/>
                <w:bCs/>
                <w:color w:val="0B1F3A"/>
                <w:sz w:val="20"/>
                <w:szCs w:val="20"/>
              </w:rPr>
              <w:t xml:space="preserve">TRL 5</w:t>
            </w:r>
          </w:p>
        </w:tc>
        <w:tc>
          <w:tcPr>
            <w:tcW w:type="dxa" w:w="2340"/>
            <w:shd w:fill="F4F8FB" w:val="clear"/>
            <w:tcMar>
              <w:top w:type="dxa" w:w="60"/>
              <w:left w:type="dxa" w:w="110"/>
              <w:bottom w:type="dxa" w:w="60"/>
              <w:right w:type="dxa" w:w="110"/>
            </w:tcMar>
            <w:vAlign w:val="center"/>
          </w:tcPr>
          <w:p>
            <w:pPr>
              <w:spacing w:after="0" w:line="240"/>
              <w:jc w:val="left"/>
            </w:pPr>
            <w:r>
              <w:rPr>
                <w:rFonts w:ascii="Consolas" w:cs="Consolas" w:eastAsia="Consolas" w:hAnsi="Consolas"/>
                <w:color w:val="5A7A94"/>
                <w:spacing w:val="20"/>
                <w:sz w:val="16"/>
                <w:szCs w:val="16"/>
              </w:rPr>
              <w:t xml:space="preserve">STATUS
</w:t>
            </w:r>
            <w:r>
              <w:br/>
              <w:t xml:space="preserve"/>
            </w:r>
            <w:r>
              <w:rPr>
                <w:b/>
                <w:bCs/>
                <w:color w:val="0B1F3A"/>
                <w:sz w:val="20"/>
                <w:szCs w:val="20"/>
              </w:rPr>
              <w:t xml:space="preserve">PUBLIC</w:t>
            </w:r>
          </w:p>
        </w:tc>
      </w:tr>
    </w:tbl>
    <w:p>
      <w:pPr>
        <w:spacing w:after="300"/>
      </w:pPr>
      <w:r>
        <w:t xml:space="preserve"/>
      </w:r>
    </w:p>
    <w:p>
      <w:pPr>
        <w:spacing w:after="0"/>
      </w:pPr>
      <w:r>
        <w:rPr>
          <w:rFonts w:ascii="Consolas" w:cs="Consolas" w:eastAsia="Consolas" w:hAnsi="Consolas"/>
          <w:color w:val="5A7A94"/>
          <w:sz w:val="16"/>
          <w:szCs w:val="16"/>
        </w:rPr>
        <w:t xml:space="preserve">Document ID  </w:t>
      </w:r>
      <w:r>
        <w:rPr>
          <w:rFonts w:ascii="Consolas" w:cs="Consolas" w:eastAsia="Consolas" w:hAnsi="Consolas"/>
          <w:b/>
          <w:bCs/>
          <w:color w:val="13294B"/>
          <w:sz w:val="16"/>
          <w:szCs w:val="16"/>
        </w:rPr>
        <w:t xml:space="preserve">CAS-EVD-003    </w:t>
      </w:r>
      <w:r>
        <w:rPr>
          <w:rFonts w:ascii="Consolas" w:cs="Consolas" w:eastAsia="Consolas" w:hAnsi="Consolas"/>
          <w:color w:val="5A7A94"/>
          <w:sz w:val="16"/>
          <w:szCs w:val="16"/>
        </w:rPr>
        <w:t xml:space="preserve">Standard  </w:t>
      </w:r>
      <w:r>
        <w:rPr>
          <w:rFonts w:ascii="Consolas" w:cs="Consolas" w:eastAsia="Consolas" w:hAnsi="Consolas"/>
          <w:b/>
          <w:bCs/>
          <w:color w:val="13294B"/>
          <w:sz w:val="16"/>
          <w:szCs w:val="16"/>
        </w:rPr>
        <w:t xml:space="preserve">ISO 16290 / ECSS-E-ST-40C</w:t>
      </w:r>
    </w:p>
    <w:p>
      <w:pPr>
        <w:spacing w:after="2600"/>
      </w:pPr>
      <w:r>
        <w:t xml:space="preserve"/>
      </w:r>
    </w:p>
    <w:p>
      <w:pPr>
        <w:pBdr>
          <w:top w:val="single" w:color="0097B2" w:sz="8" w:space="8"/>
        </w:pBdr>
        <w:spacing w:after="0"/>
        <w:jc w:val="center"/>
      </w:pPr>
      <w:r>
        <w:rPr>
          <w:rFonts w:ascii="Consolas" w:cs="Consolas" w:eastAsia="Consolas" w:hAnsi="Consolas"/>
          <w:b/>
          <w:bCs/>
          <w:color w:val="0097B2"/>
          <w:sz w:val="18"/>
          <w:szCs w:val="18"/>
        </w:rPr>
        <w:t xml:space="preserve">casplatform.com</w:t>
      </w:r>
    </w:p>
    <w:p>
      <w:r>
        <w:br w:type="page"/>
      </w:r>
    </w:p>
    <w:p>
      <w:pPr>
        <w:sectPr>
          <w:pgSz w:w="12240" w:h="15840" w:orient="portrait"/>
          <w:pgMar w:top="1440" w:right="1440" w:bottom="1440" w:left="1440" w:header="708" w:footer="708" w:gutter="0"/>
          <w:pgNumType/>
          <w:docGrid w:linePitch="360"/>
        </w:sectPr>
      </w:pPr>
    </w:p>
    <w:p>
      <w:pPr>
        <w:pStyle w:val="Heading1"/>
      </w:pPr>
      <w:r>
        <w:t xml:space="preserve">Document Information</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2600"/>
        <w:gridCol w:w="6760"/>
      </w:tblGrid>
      <w:tr>
        <w:trPr>
          <w:tblHeader/>
        </w:trPr>
        <w:tc>
          <w:tcPr>
            <w:tcW w:type="dxa" w:w="26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Field</w:t>
            </w:r>
          </w:p>
        </w:tc>
        <w:tc>
          <w:tcPr>
            <w:tcW w:type="dxa" w:w="67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Value</w:t>
            </w:r>
          </w:p>
        </w:tc>
      </w:tr>
      <w:tr>
        <w:tc>
          <w:tcPr>
            <w:tcW w:type="dxa" w:w="26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Document Title</w:t>
            </w:r>
          </w:p>
        </w:tc>
        <w:tc>
          <w:tcPr>
            <w:tcW w:type="dxa" w:w="67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CAS Platform — TRL 5 Operational Evidence Report</w:t>
            </w:r>
          </w:p>
        </w:tc>
      </w:tr>
      <w:tr>
        <w:tc>
          <w:tcPr>
            <w:tcW w:type="dxa" w:w="26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Document ID</w:t>
            </w:r>
          </w:p>
        </w:tc>
        <w:tc>
          <w:tcPr>
            <w:tcW w:type="dxa" w:w="67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CAS-EVD-003</w:t>
            </w:r>
          </w:p>
        </w:tc>
      </w:tr>
      <w:tr>
        <w:tc>
          <w:tcPr>
            <w:tcW w:type="dxa" w:w="26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Version</w:t>
            </w:r>
          </w:p>
        </w:tc>
        <w:tc>
          <w:tcPr>
            <w:tcW w:type="dxa" w:w="67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3.0</w:t>
            </w:r>
          </w:p>
        </w:tc>
      </w:tr>
      <w:tr>
        <w:tc>
          <w:tcPr>
            <w:tcW w:type="dxa" w:w="26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Date</w:t>
            </w:r>
          </w:p>
        </w:tc>
        <w:tc>
          <w:tcPr>
            <w:tcW w:type="dxa" w:w="67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June 2026</w:t>
            </w:r>
          </w:p>
        </w:tc>
      </w:tr>
      <w:tr>
        <w:tc>
          <w:tcPr>
            <w:tcW w:type="dxa" w:w="26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Author</w:t>
            </w:r>
          </w:p>
        </w:tc>
        <w:tc>
          <w:tcPr>
            <w:tcW w:type="dxa" w:w="67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Mustafa Fırıncı, Founder</w:t>
            </w:r>
          </w:p>
        </w:tc>
      </w:tr>
      <w:tr>
        <w:tc>
          <w:tcPr>
            <w:tcW w:type="dxa" w:w="26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Standard</w:t>
            </w:r>
          </w:p>
        </w:tc>
        <w:tc>
          <w:tcPr>
            <w:tcW w:type="dxa" w:w="67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ISO 16290 (TRL) / ECSS-E-ST-40C</w:t>
            </w:r>
          </w:p>
        </w:tc>
      </w:tr>
      <w:tr>
        <w:tc>
          <w:tcPr>
            <w:tcW w:type="dxa" w:w="26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Classification</w:t>
            </w:r>
          </w:p>
        </w:tc>
        <w:tc>
          <w:tcPr>
            <w:tcW w:type="dxa" w:w="67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Public</w:t>
            </w:r>
          </w:p>
        </w:tc>
      </w:tr>
    </w:tbl>
    <w:p>
      <w:pPr>
        <w:pStyle w:val="Heading1"/>
      </w:pPr>
      <w:r>
        <w:t xml:space="preserve">1. Executive Summary</w:t>
      </w:r>
    </w:p>
    <w:p>
      <w:pPr>
        <w:spacing w:after="120" w:line="264"/>
      </w:pPr>
      <w:r>
        <w:rPr>
          <w:rFonts w:ascii="Arial" w:cs="Arial" w:eastAsia="Arial" w:hAnsi="Arial"/>
          <w:color w:val="1A2332"/>
          <w:sz w:val="20"/>
          <w:szCs w:val="20"/>
        </w:rPr>
        <w:t xml:space="preserve">CAS (Conjunction Decision Support) is an independent European platform that processes publicly available conjunction data from Space-Track (18th SDS), Celestrak, EU SST, and NOAA SWPC to provide satellite operators with prioritized risk assessments and maneuver decision support.</w:t>
      </w:r>
    </w:p>
    <w:p>
      <w:pPr>
        <w:spacing w:after="120" w:line="264"/>
      </w:pPr>
      <w:r>
        <w:rPr>
          <w:rFonts w:ascii="Arial" w:cs="Arial" w:eastAsia="Arial" w:hAnsi="Arial"/>
          <w:color w:val="1A2332"/>
          <w:sz w:val="20"/>
          <w:szCs w:val="20"/>
        </w:rPr>
        <w:t xml:space="preserve">This document presents the operational evidence supporting CAS's Technology Readiness Level 5 (TRL 5) claim under ISO 16290: “component validation in a relevant environment.” Since v2.0 the platform has delivered the VLEO drag-aware decision layer (Phases 1–3) and a calibrated machine-learning triage layer (ML Layer 1), and has migrated new functionality to a FastAPI v2 service under the Strangler pattern.</w:t>
      </w:r>
    </w:p>
    <w:p>
      <w:pPr>
        <w:pStyle w:val="Heading2"/>
      </w:pPr>
      <w:r>
        <w:t xml:space="preserve">Key Evidence</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2700"/>
        <w:gridCol w:w="2400"/>
        <w:gridCol w:w="4260"/>
      </w:tblGrid>
      <w:tr>
        <w:trPr>
          <w:tblHeader/>
        </w:trPr>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Metric</w:t>
            </w:r>
          </w:p>
        </w:tc>
        <w:tc>
          <w:tcPr>
            <w:tcW w:type="dxa" w:w="24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Result</w:t>
            </w:r>
          </w:p>
        </w:tc>
        <w:tc>
          <w:tcPr>
            <w:tcW w:type="dxa" w:w="42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Basis</w:t>
            </w:r>
          </w:p>
        </w:tc>
      </w:tr>
      <w:tr>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Pc consistency</w:t>
            </w:r>
          </w:p>
        </w:tc>
        <w:tc>
          <w:tcPr>
            <w:tcW w:type="dxa" w:w="24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99.9%</w:t>
            </w:r>
          </w:p>
        </w:tc>
        <w:tc>
          <w:tcPr>
            <w:tcW w:type="dxa" w:w="42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Internal recomputation (see §3)</w:t>
            </w:r>
          </w:p>
        </w:tc>
      </w:tr>
      <w:tr>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ML Layer 1 discrimination</w:t>
            </w:r>
          </w:p>
        </w:tc>
        <w:tc>
          <w:tcPr>
            <w:tcW w:type="dxa" w:w="24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AUC 0.953</w:t>
            </w:r>
          </w:p>
        </w:tc>
        <w:tc>
          <w:tcPr>
            <w:tcW w:type="dxa" w:w="42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Held-out validation set</w:t>
            </w:r>
          </w:p>
        </w:tc>
      </w:tr>
      <w:tr>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Automated tests</w:t>
            </w:r>
          </w:p>
        </w:tc>
        <w:tc>
          <w:tcPr>
            <w:tcW w:type="dxa" w:w="24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134 unit + 135 integration</w:t>
            </w:r>
          </w:p>
        </w:tc>
        <w:tc>
          <w:tcPr>
            <w:tcW w:type="dxa" w:w="42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pytest suite + smoke (cron)</w:t>
            </w:r>
          </w:p>
        </w:tc>
      </w:tr>
      <w:tr>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CDMs validated</w:t>
            </w:r>
          </w:p>
        </w:tc>
        <w:tc>
          <w:tcPr>
            <w:tcW w:type="dxa" w:w="24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5,202</w:t>
            </w:r>
          </w:p>
        </w:tc>
        <w:tc>
          <w:tcPr>
            <w:tcW w:type="dxa" w:w="42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Validation dataset</w:t>
            </w:r>
          </w:p>
        </w:tc>
      </w:tr>
      <w:tr>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Objects tracked</w:t>
            </w:r>
          </w:p>
        </w:tc>
        <w:tc>
          <w:tcPr>
            <w:tcW w:type="dxa" w:w="24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30,884+</w:t>
            </w:r>
          </w:p>
        </w:tc>
        <w:tc>
          <w:tcPr>
            <w:tcW w:type="dxa" w:w="42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Live multi-source catalog</w:t>
            </w:r>
          </w:p>
        </w:tc>
      </w:tr>
      <w:tr>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Continuous operation</w:t>
            </w:r>
          </w:p>
        </w:tc>
        <w:tc>
          <w:tcPr>
            <w:tcW w:type="dxa" w:w="24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90+ days</w:t>
            </w:r>
          </w:p>
        </w:tc>
        <w:tc>
          <w:tcPr>
            <w:tcW w:type="dxa" w:w="42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Uninterrupted since March 2026</w:t>
            </w:r>
          </w:p>
        </w:tc>
      </w:tr>
      <w:tr>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VLEO endpoints live</w:t>
            </w:r>
          </w:p>
        </w:tc>
        <w:tc>
          <w:tcPr>
            <w:tcW w:type="dxa" w:w="24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6</w:t>
            </w:r>
          </w:p>
        </w:tc>
        <w:tc>
          <w:tcPr>
            <w:tcW w:type="dxa" w:w="42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FastAPI v2 (verified on EAGLEEYE)</w:t>
            </w:r>
          </w:p>
        </w:tc>
      </w:tr>
      <w:tr>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Data sources</w:t>
            </w:r>
          </w:p>
        </w:tc>
        <w:tc>
          <w:tcPr>
            <w:tcW w:type="dxa" w:w="24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4 independent</w:t>
            </w:r>
          </w:p>
        </w:tc>
        <w:tc>
          <w:tcPr>
            <w:tcW w:type="dxa" w:w="42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Space-Track, Celestrak, EU SST, NOAA SWPC</w:t>
            </w:r>
          </w:p>
        </w:tc>
      </w:tr>
    </w:tbl>
    <w:p>
      <w:pPr>
        <w:pStyle w:val="Heading1"/>
      </w:pPr>
      <w:r>
        <w:t xml:space="preserve">2. System Architecture</w:t>
      </w:r>
    </w:p>
    <w:p>
      <w:pPr>
        <w:spacing w:after="120" w:line="264"/>
      </w:pPr>
      <w:r>
        <w:rPr>
          <w:rFonts w:ascii="Arial" w:cs="Arial" w:eastAsia="Arial" w:hAnsi="Arial"/>
          <w:color w:val="1A2332"/>
          <w:sz w:val="20"/>
          <w:szCs w:val="20"/>
        </w:rPr>
        <w:t xml:space="preserve">CAS operates as a four-stage pipeline processing conjunction data into operator decisions. New functionality is delivered in a FastAPI v2 service (port 8766) alongside the legacy engine (port 8765) under the Strangler pattern; Nginx routes between them.</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1600"/>
        <w:gridCol w:w="2200"/>
        <w:gridCol w:w="5560"/>
      </w:tblGrid>
      <w:tr>
        <w:trPr>
          <w:tblHeader/>
        </w:trPr>
        <w:tc>
          <w:tcPr>
            <w:tcW w:type="dxa" w:w="16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Stage</w:t>
            </w:r>
          </w:p>
        </w:tc>
        <w:tc>
          <w:tcPr>
            <w:tcW w:type="dxa" w:w="22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Component</w:t>
            </w:r>
          </w:p>
        </w:tc>
        <w:tc>
          <w:tcPr>
            <w:tcW w:type="dxa" w:w="55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Description</w:t>
            </w:r>
          </w:p>
        </w:tc>
      </w:tr>
      <w:tr>
        <w:tc>
          <w:tcPr>
            <w:tcW w:type="dxa" w:w="16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1. INGEST</w:t>
            </w:r>
          </w:p>
        </w:tc>
        <w:tc>
          <w:tcPr>
            <w:tcW w:type="dxa" w:w="2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CDM Fetcher</w:t>
            </w:r>
          </w:p>
        </w:tc>
        <w:tc>
          <w:tcPr>
            <w:tcW w:type="dxa" w:w="55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Hourly Space-Track CDM ingestion + 6h EU SST (FG/RE) sync + Celestrak TLE groups; canonical CDM schema mapping.</w:t>
            </w:r>
          </w:p>
        </w:tc>
      </w:tr>
      <w:tr>
        <w:tc>
          <w:tcPr>
            <w:tcW w:type="dxa" w:w="16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2. CLASSIFY</w:t>
            </w:r>
          </w:p>
        </w:tc>
        <w:tc>
          <w:tcPr>
            <w:tcW w:type="dxa" w:w="2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Pc Engine + ML L1</w:t>
            </w:r>
          </w:p>
        </w:tc>
        <w:tc>
          <w:tcPr>
            <w:tcW w:type="dxa" w:w="55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Foster/Chan 2D Gaussian Pc with RED/YELLOW/GREEN; ML Layer 1 calibrated triage (defers to Pc on sparse input).</w:t>
            </w:r>
          </w:p>
        </w:tc>
      </w:tr>
      <w:tr>
        <w:tc>
          <w:tcPr>
            <w:tcW w:type="dxa" w:w="16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3. DECIDE</w:t>
            </w:r>
          </w:p>
        </w:tc>
        <w:tc>
          <w:tcPr>
            <w:tcW w:type="dxa" w:w="2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Decision Engine</w:t>
            </w:r>
          </w:p>
        </w:tc>
        <w:tc>
          <w:tcPr>
            <w:tcW w:type="dxa" w:w="55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Priority scoring, maneuver recommendation, confidence rating, cascade screening (10K+ objects), VLEO drag-aware tools.</w:t>
            </w:r>
          </w:p>
        </w:tc>
      </w:tr>
      <w:tr>
        <w:tc>
          <w:tcPr>
            <w:tcW w:type="dxa" w:w="16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4. ACT</w:t>
            </w:r>
          </w:p>
        </w:tc>
        <w:tc>
          <w:tcPr>
            <w:tcW w:type="dxa" w:w="2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Operator Interface</w:t>
            </w:r>
          </w:p>
        </w:tc>
        <w:tc>
          <w:tcPr>
            <w:tcW w:type="dxa" w:w="55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Web portal with decision output, trend charts, VLEO tools, alert management. Operator retains final authority.</w:t>
            </w:r>
          </w:p>
        </w:tc>
      </w:tr>
    </w:tbl>
    <w:p>
      <w:pPr>
        <w:pStyle w:val="Heading2"/>
      </w:pPr>
      <w:r>
        <w:t xml:space="preserve">Infrastructure</w:t>
      </w:r>
    </w:p>
    <w:p>
      <w:pPr>
        <w:pStyle w:val="ListParagraph"/>
        <w:numPr>
          <w:ilvl w:val="0"/>
          <w:numId w:val="2"/>
        </w:numPr>
        <w:spacing w:after="60" w:line="260"/>
      </w:pPr>
      <w:r>
        <w:rPr>
          <w:rFonts w:ascii="Arial" w:cs="Arial" w:eastAsia="Arial" w:hAnsi="Arial"/>
          <w:b/>
          <w:bCs/>
          <w:color w:val="1A2332"/>
          <w:sz w:val="20"/>
          <w:szCs w:val="20"/>
        </w:rPr>
        <w:t xml:space="preserve">Hosting: </w:t>
      </w:r>
      <w:r>
        <w:rPr>
          <w:rFonts w:ascii="Arial" w:cs="Arial" w:eastAsia="Arial" w:hAnsi="Arial"/>
          <w:color w:val="1A2332"/>
          <w:sz w:val="20"/>
          <w:szCs w:val="20"/>
        </w:rPr>
        <w:t xml:space="preserve">EU-based VPS (Germany). GDPR-compliant data processing; derived analysis stays within the EU.</w:t>
      </w:r>
    </w:p>
    <w:p>
      <w:pPr>
        <w:pStyle w:val="ListParagraph"/>
        <w:numPr>
          <w:ilvl w:val="0"/>
          <w:numId w:val="2"/>
        </w:numPr>
        <w:spacing w:after="60" w:line="260"/>
      </w:pPr>
      <w:r>
        <w:rPr>
          <w:rFonts w:ascii="Arial" w:cs="Arial" w:eastAsia="Arial" w:hAnsi="Arial"/>
          <w:b/>
          <w:bCs/>
          <w:color w:val="1A2332"/>
          <w:sz w:val="20"/>
          <w:szCs w:val="20"/>
        </w:rPr>
        <w:t xml:space="preserve">Stack: </w:t>
      </w:r>
      <w:r>
        <w:rPr>
          <w:rFonts w:ascii="Arial" w:cs="Arial" w:eastAsia="Arial" w:hAnsi="Arial"/>
          <w:color w:val="1A2332"/>
          <w:sz w:val="20"/>
          <w:szCs w:val="20"/>
        </w:rPr>
        <w:t xml:space="preserve">Python 3, FastAPI, PostgreSQL, Nginx, Cloudflare CDN, systemd.</w:t>
      </w:r>
    </w:p>
    <w:p>
      <w:pPr>
        <w:pStyle w:val="ListParagraph"/>
        <w:numPr>
          <w:ilvl w:val="0"/>
          <w:numId w:val="2"/>
        </w:numPr>
        <w:spacing w:after="60" w:line="260"/>
      </w:pPr>
      <w:r>
        <w:rPr>
          <w:rFonts w:ascii="Arial" w:cs="Arial" w:eastAsia="Arial" w:hAnsi="Arial"/>
          <w:b/>
          <w:bCs/>
          <w:color w:val="1A2332"/>
          <w:sz w:val="20"/>
          <w:szCs w:val="20"/>
        </w:rPr>
        <w:t xml:space="preserve">Security: </w:t>
      </w:r>
      <w:r>
        <w:rPr>
          <w:rFonts w:ascii="Arial" w:cs="Arial" w:eastAsia="Arial" w:hAnsi="Arial"/>
          <w:color w:val="1A2332"/>
          <w:sz w:val="20"/>
          <w:szCs w:val="20"/>
        </w:rPr>
        <w:t xml:space="preserve">HMAC-SHA256 JWT, API-key support, fail2ban, UFW (CDN-only ingress).</w:t>
      </w:r>
    </w:p>
    <w:p>
      <w:pPr>
        <w:pStyle w:val="ListParagraph"/>
        <w:numPr>
          <w:ilvl w:val="0"/>
          <w:numId w:val="2"/>
        </w:numPr>
        <w:spacing w:after="60" w:line="260"/>
      </w:pPr>
      <w:r>
        <w:rPr>
          <w:rFonts w:ascii="Arial" w:cs="Arial" w:eastAsia="Arial" w:hAnsi="Arial"/>
          <w:b/>
          <w:bCs/>
          <w:color w:val="1A2332"/>
          <w:sz w:val="20"/>
          <w:szCs w:val="20"/>
        </w:rPr>
        <w:t xml:space="preserve">Monitoring: </w:t>
      </w:r>
      <w:r>
        <w:rPr>
          <w:rFonts w:ascii="Arial" w:cs="Arial" w:eastAsia="Arial" w:hAnsi="Arial"/>
          <w:color w:val="1A2332"/>
          <w:sz w:val="20"/>
          <w:szCs w:val="20"/>
        </w:rPr>
        <w:t xml:space="preserve">Hourly automated scans, email alerts on RED conjunctions, 04:00 smoke-test cron, continuous uptime tracking.</w:t>
      </w:r>
    </w:p>
    <w:p>
      <w:r>
        <w:br w:type="page"/>
      </w:r>
    </w:p>
    <w:p>
      <w:pPr>
        <w:pStyle w:val="Heading1"/>
      </w:pPr>
      <w:r>
        <w:t xml:space="preserve">3. Pc Validation Methodology</w:t>
      </w:r>
    </w:p>
    <w:p>
      <w:pPr>
        <w:pStyle w:val="Heading2"/>
      </w:pPr>
      <w:r>
        <w:t xml:space="preserve">3.1 What “99.9% Consistency” Means</w:t>
      </w:r>
    </w:p>
    <w:p>
      <w:pPr>
        <w:spacing w:after="120" w:line="264"/>
      </w:pPr>
      <w:r>
        <w:rPr>
          <w:rFonts w:ascii="Arial" w:cs="Arial" w:eastAsia="Arial" w:hAnsi="Arial"/>
          <w:color w:val="1A2332"/>
          <w:sz w:val="20"/>
          <w:szCs w:val="20"/>
        </w:rPr>
        <w:t xml:space="preserve">The 99.9% figure represents magnitude-order consistency of CAS's collision-probability (Pc) computation when re-calculating Pc from stored conjunction parameters. It is NOT a claim of accuracy against an external ground truth.</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B26A00" w:sz="24"/>
              <w:bottom w:val="none"/>
              <w:right w:val="none"/>
            </w:tcBorders>
            <w:shd w:fill="FBF3E6" w:val="clear"/>
            <w:tcMar>
              <w:top w:type="dxa" w:w="100"/>
              <w:left w:type="dxa" w:w="160"/>
              <w:bottom w:type="dxa" w:w="100"/>
              <w:right w:type="dxa" w:w="140"/>
            </w:tcMar>
          </w:tcPr>
          <w:p>
            <w:pPr>
              <w:spacing w:after="60"/>
            </w:pPr>
            <w:r>
              <w:rPr>
                <w:rFonts w:ascii="Consolas" w:cs="Consolas" w:eastAsia="Consolas" w:hAnsi="Consolas"/>
                <w:b/>
                <w:bCs/>
                <w:color w:val="B26A00"/>
                <w:spacing w:val="20"/>
                <w:sz w:val="16"/>
                <w:szCs w:val="16"/>
              </w:rPr>
              <w:t xml:space="preserve">IMPORTANT — METHODOLOGY DISCLOSURE</w:t>
            </w:r>
          </w:p>
          <w:p>
            <w:pPr>
              <w:spacing w:after="40" w:line="252"/>
            </w:pPr>
            <w:r>
              <w:rPr>
                <w:color w:val="1A2332"/>
                <w:sz w:val="18"/>
                <w:szCs w:val="18"/>
              </w:rPr>
              <w:t xml:space="preserve">The 99.9% consistency metric is based on internal recomputation, not comparison against Space-Track's reported Pc values.</w:t>
            </w:r>
          </w:p>
          <w:p>
            <w:pPr>
              <w:spacing w:after="40" w:line="252"/>
            </w:pPr>
            <w:r>
              <w:rPr>
                <w:rFonts w:ascii="Arial" w:cs="Arial" w:eastAsia="Arial" w:hAnsi="Arial"/>
                <w:b/>
                <w:bCs/>
                <w:color w:val="1A2332"/>
                <w:sz w:val="20"/>
                <w:szCs w:val="20"/>
              </w:rPr>
              <w:t xml:space="preserve">Space-Track Pc </w:t>
            </w:r>
            <w:r>
              <w:rPr>
                <w:rFonts w:ascii="Arial" w:cs="Arial" w:eastAsia="Arial" w:hAnsi="Arial"/>
                <w:color w:val="1A2332"/>
                <w:sz w:val="20"/>
                <w:szCs w:val="20"/>
              </w:rPr>
              <w:t xml:space="preserve">is computed using full covariance matrices from high-fidelity orbit determination (not available in the cdm_public API).</w:t>
            </w:r>
          </w:p>
          <w:p>
            <w:pPr>
              <w:spacing w:after="40" w:line="252"/>
            </w:pPr>
            <w:r>
              <w:rPr>
                <w:rFonts w:ascii="Arial" w:cs="Arial" w:eastAsia="Arial" w:hAnsi="Arial"/>
                <w:b/>
                <w:bCs/>
                <w:color w:val="1A2332"/>
                <w:sz w:val="20"/>
                <w:szCs w:val="20"/>
              </w:rPr>
              <w:t xml:space="preserve">CAS Pc </w:t>
            </w:r>
            <w:r>
              <w:rPr>
                <w:rFonts w:ascii="Arial" w:cs="Arial" w:eastAsia="Arial" w:hAnsi="Arial"/>
                <w:color w:val="1A2332"/>
                <w:sz w:val="20"/>
                <w:szCs w:val="20"/>
              </w:rPr>
              <w:t xml:space="preserve">is computed using the Foster/Chan 2D Gaussian method with a default position uncertainty in the absence of covariance data.</w:t>
            </w:r>
          </w:p>
          <w:p>
            <w:pPr>
              <w:spacing w:after="40" w:line="252"/>
            </w:pPr>
            <w:r>
              <w:rPr>
                <w:color w:val="1A2332"/>
                <w:sz w:val="18"/>
                <w:szCs w:val="18"/>
              </w:rPr>
              <w:t xml:space="preserve">When comparing CAS Pc directly against Space-Track Pc on live CDMs, magnitude-order agreement is low — expected, and not a deficiency: it reflects the absence of covariance in the public feed. CAS's value is consistent risk classification, trend detection, and an independent analysis layer, not Pc replication.</w:t>
            </w:r>
          </w:p>
        </w:tc>
      </w:tr>
    </w:tbl>
    <w:p>
      <w:pPr>
        <w:pStyle w:val="Heading2"/>
      </w:pPr>
      <w:r>
        <w:t xml:space="preserve">3.2 Internal Consistency Validation</w:t>
      </w:r>
    </w:p>
    <w:p>
      <w:pPr>
        <w:spacing w:after="120" w:line="264"/>
      </w:pPr>
      <w:r>
        <w:rPr>
          <w:rFonts w:ascii="Arial" w:cs="Arial" w:eastAsia="Arial" w:hAnsi="Arial"/>
          <w:color w:val="1A2332"/>
          <w:sz w:val="20"/>
          <w:szCs w:val="20"/>
        </w:rPr>
        <w:t xml:space="preserve">For each of 5,202 CDM records, the Pc value stored at ingestion is recomputed using the same miss distance and sigma parameters and compared against the stored value.</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4680"/>
        <w:gridCol w:w="4680"/>
      </w:tblGrid>
      <w:tr>
        <w:trPr>
          <w:tblHeader/>
        </w:trPr>
        <w:tc>
          <w:tcPr>
            <w:tcW w:type="dxa" w:w="468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Metric</w:t>
            </w:r>
          </w:p>
        </w:tc>
        <w:tc>
          <w:tcPr>
            <w:tcW w:type="dxa" w:w="468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Result</w:t>
            </w:r>
          </w:p>
        </w:tc>
      </w:tr>
      <w:tr>
        <w:tc>
          <w:tcPr>
            <w:tcW w:type="dxa" w:w="468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Total CDMs tested</w:t>
            </w:r>
          </w:p>
        </w:tc>
        <w:tc>
          <w:tcPr>
            <w:tcW w:type="dxa" w:w="468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5,202</w:t>
            </w:r>
          </w:p>
        </w:tc>
      </w:tr>
      <w:tr>
        <w:tc>
          <w:tcPr>
            <w:tcW w:type="dxa" w:w="468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Magnitude-order consistency</w:t>
            </w:r>
          </w:p>
        </w:tc>
        <w:tc>
          <w:tcPr>
            <w:tcW w:type="dxa" w:w="468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99.9% (5,195 / 5,202)</w:t>
            </w:r>
          </w:p>
        </w:tc>
      </w:tr>
      <w:tr>
        <w:tc>
          <w:tcPr>
            <w:tcW w:type="dxa" w:w="468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Risk classification consistency</w:t>
            </w:r>
          </w:p>
        </w:tc>
        <w:tc>
          <w:tcPr>
            <w:tcW w:type="dxa" w:w="468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99.9% (5,195 / 5,202)</w:t>
            </w:r>
          </w:p>
        </w:tc>
      </w:tr>
      <w:tr>
        <w:tc>
          <w:tcPr>
            <w:tcW w:type="dxa" w:w="468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Mean log₁₀(recomputed/stored)</w:t>
            </w:r>
          </w:p>
        </w:tc>
        <w:tc>
          <w:tcPr>
            <w:tcW w:type="dxa" w:w="468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−0.238 (slight systematic underestimate)</w:t>
            </w:r>
          </w:p>
        </w:tc>
      </w:tr>
      <w:tr>
        <w:tc>
          <w:tcPr>
            <w:tcW w:type="dxa" w:w="468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Standard deviation</w:t>
            </w:r>
          </w:p>
        </w:tc>
        <w:tc>
          <w:tcPr>
            <w:tcW w:type="dxa" w:w="468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0.278</w:t>
            </w:r>
          </w:p>
        </w:tc>
      </w:tr>
      <w:tr>
        <w:tc>
          <w:tcPr>
            <w:tcW w:type="dxa" w:w="468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Dataset date range</w:t>
            </w:r>
          </w:p>
        </w:tc>
        <w:tc>
          <w:tcPr>
            <w:tcW w:type="dxa" w:w="468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March 15 — May 20, 2026</w:t>
            </w:r>
          </w:p>
        </w:tc>
      </w:tr>
    </w:tbl>
    <w:p>
      <w:pPr>
        <w:spacing w:after="120" w:line="264"/>
      </w:pPr>
      <w:r>
        <w:rPr>
          <w:rFonts w:ascii="Arial" w:cs="Arial" w:eastAsia="Arial" w:hAnsi="Arial"/>
          <w:color w:val="5A7A94"/>
          <w:sz w:val="18"/>
          <w:szCs w:val="18"/>
        </w:rPr>
        <w:t xml:space="preserve">This demonstrates that CAS's Pc computation is deterministic, repeatable, and internally consistent across thousands of conjunction events.</w:t>
      </w:r>
    </w:p>
    <w:p>
      <w:pPr>
        <w:pStyle w:val="Heading2"/>
      </w:pPr>
      <w:r>
        <w:t xml:space="preserve">3.3 Cross-Validation Against Space-Track</w:t>
      </w:r>
    </w:p>
    <w:p>
      <w:pPr>
        <w:spacing w:after="120" w:line="264"/>
      </w:pPr>
      <w:r>
        <w:rPr>
          <w:rFonts w:ascii="Arial" w:cs="Arial" w:eastAsia="Arial" w:hAnsi="Arial"/>
          <w:color w:val="1A2332"/>
          <w:sz w:val="20"/>
          <w:szCs w:val="20"/>
        </w:rPr>
        <w:t xml:space="preserve">A direct comparison against Space-Track's reported Pc from fresh cdm_public CDMs shows low magnitude-order agreement, entirely attributable to the absence of covariance data. Space-Track computes Pc using full 6×6 covariance matrices from precision orbit determination; CAS uses a default position-uncertainty assumption. This is a known, documented limitation — not a computational error.</w:t>
      </w:r>
    </w:p>
    <w:p>
      <w:pPr>
        <w:pStyle w:val="Heading2"/>
      </w:pPr>
      <w:r>
        <w:t xml:space="preserve">3.4 What This Means for Operators</w:t>
      </w:r>
    </w:p>
    <w:p>
      <w:pPr>
        <w:spacing w:after="120" w:line="264"/>
      </w:pPr>
      <w:r>
        <w:rPr>
          <w:rFonts w:ascii="Arial" w:cs="Arial" w:eastAsia="Arial" w:hAnsi="Arial"/>
          <w:color w:val="1A2332"/>
          <w:sz w:val="20"/>
          <w:szCs w:val="20"/>
        </w:rPr>
        <w:t xml:space="preserve">CAS does not claim to replicate Space-Track's Pc. Instead, CAS provides:</w:t>
      </w:r>
    </w:p>
    <w:p>
      <w:pPr>
        <w:pStyle w:val="ListParagraph"/>
        <w:numPr>
          <w:ilvl w:val="0"/>
          <w:numId w:val="2"/>
        </w:numPr>
        <w:spacing w:after="60" w:line="260"/>
      </w:pPr>
      <w:r>
        <w:rPr>
          <w:rFonts w:ascii="Arial" w:cs="Arial" w:eastAsia="Arial" w:hAnsi="Arial"/>
          <w:b/>
          <w:bCs/>
          <w:color w:val="1A2332"/>
          <w:sz w:val="20"/>
          <w:szCs w:val="20"/>
        </w:rPr>
        <w:t xml:space="preserve">Consistent risk classification: </w:t>
      </w:r>
      <w:r>
        <w:rPr>
          <w:rFonts w:ascii="Arial" w:cs="Arial" w:eastAsia="Arial" w:hAnsi="Arial"/>
          <w:color w:val="1A2332"/>
          <w:sz w:val="20"/>
          <w:szCs w:val="20"/>
        </w:rPr>
        <w:t xml:space="preserve">RED/YELLOW/GREEN thresholds applied uniformly.</w:t>
      </w:r>
    </w:p>
    <w:p>
      <w:pPr>
        <w:pStyle w:val="ListParagraph"/>
        <w:numPr>
          <w:ilvl w:val="0"/>
          <w:numId w:val="2"/>
        </w:numPr>
        <w:spacing w:after="60" w:line="260"/>
      </w:pPr>
      <w:r>
        <w:rPr>
          <w:rFonts w:ascii="Arial" w:cs="Arial" w:eastAsia="Arial" w:hAnsi="Arial"/>
          <w:b/>
          <w:bCs/>
          <w:color w:val="1A2332"/>
          <w:sz w:val="20"/>
          <w:szCs w:val="20"/>
        </w:rPr>
        <w:t xml:space="preserve">Trend detection: </w:t>
      </w:r>
      <w:r>
        <w:rPr>
          <w:rFonts w:ascii="Arial" w:cs="Arial" w:eastAsia="Arial" w:hAnsi="Arial"/>
          <w:color w:val="1A2332"/>
          <w:sz w:val="20"/>
          <w:szCs w:val="20"/>
        </w:rPr>
        <w:t xml:space="preserve">72-hour Pc evolution identifies escalating vs de-escalating risk regardless of absolute Pc.</w:t>
      </w:r>
    </w:p>
    <w:p>
      <w:pPr>
        <w:pStyle w:val="ListParagraph"/>
        <w:numPr>
          <w:ilvl w:val="0"/>
          <w:numId w:val="2"/>
        </w:numPr>
        <w:spacing w:after="60" w:line="260"/>
      </w:pPr>
      <w:r>
        <w:rPr>
          <w:rFonts w:ascii="Arial" w:cs="Arial" w:eastAsia="Arial" w:hAnsi="Arial"/>
          <w:b/>
          <w:bCs/>
          <w:color w:val="1A2332"/>
          <w:sz w:val="20"/>
          <w:szCs w:val="20"/>
        </w:rPr>
        <w:t xml:space="preserve">Alert compression: </w:t>
      </w:r>
      <w:r>
        <w:rPr>
          <w:rFonts w:ascii="Arial" w:cs="Arial" w:eastAsia="Arial" w:hAnsi="Arial"/>
          <w:color w:val="1A2332"/>
          <w:sz w:val="20"/>
          <w:szCs w:val="20"/>
        </w:rPr>
        <w:t xml:space="preserve">raw alerts → review → critical, on relative risk ranking.</w:t>
      </w:r>
    </w:p>
    <w:p>
      <w:pPr>
        <w:pStyle w:val="ListParagraph"/>
        <w:numPr>
          <w:ilvl w:val="0"/>
          <w:numId w:val="2"/>
        </w:numPr>
        <w:spacing w:after="60" w:line="260"/>
      </w:pPr>
      <w:r>
        <w:rPr>
          <w:rFonts w:ascii="Arial" w:cs="Arial" w:eastAsia="Arial" w:hAnsi="Arial"/>
          <w:b/>
          <w:bCs/>
          <w:color w:val="1A2332"/>
          <w:sz w:val="20"/>
          <w:szCs w:val="20"/>
        </w:rPr>
        <w:t xml:space="preserve">Independent analysis: </w:t>
      </w:r>
      <w:r>
        <w:rPr>
          <w:rFonts w:ascii="Arial" w:cs="Arial" w:eastAsia="Arial" w:hAnsi="Arial"/>
          <w:color w:val="1A2332"/>
          <w:sz w:val="20"/>
          <w:szCs w:val="20"/>
        </w:rPr>
        <w:t xml:space="preserve">a second opinion using public data, distinct from the operator's primary SSA provider.</w:t>
      </w:r>
    </w:p>
    <w:p>
      <w:pPr>
        <w:spacing w:after="120" w:line="264"/>
      </w:pPr>
      <w:r>
        <w:rPr>
          <w:rFonts w:ascii="Arial" w:cs="Arial" w:eastAsia="Arial" w:hAnsi="Arial"/>
          <w:i/>
          <w:iCs/>
          <w:color w:val="5A7A94"/>
          <w:sz w:val="18"/>
          <w:szCs w:val="18"/>
        </w:rPr>
        <w:t xml:space="preserve">For mission-critical decisions, operators should always cross-reference CAS analysis with their authoritative SSA provider.</w:t>
      </w:r>
    </w:p>
    <w:p>
      <w:r>
        <w:br w:type="page"/>
      </w:r>
    </w:p>
    <w:p>
      <w:pPr>
        <w:pStyle w:val="Heading1"/>
      </w:pPr>
      <w:r>
        <w:t xml:space="preserve">4. Automated Test Suite</w:t>
      </w:r>
    </w:p>
    <w:p>
      <w:pPr>
        <w:spacing w:after="120" w:line="264"/>
      </w:pPr>
      <w:r>
        <w:rPr>
          <w:rFonts w:ascii="Arial" w:cs="Arial" w:eastAsia="Arial" w:hAnsi="Arial"/>
          <w:color w:val="1A2332"/>
          <w:sz w:val="20"/>
          <w:szCs w:val="20"/>
        </w:rPr>
        <w:t xml:space="preserve">CAS maintains a comprehensive test suite covering all critical computation paths. Physics calculations use no mocks — tests validate actual numerical output against known-good reference values. A smoke-test subset runs on a 04:00 cron.</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3000"/>
        <w:gridCol w:w="1100"/>
        <w:gridCol w:w="5260"/>
      </w:tblGrid>
      <w:tr>
        <w:trPr>
          <w:tblHeader/>
        </w:trPr>
        <w:tc>
          <w:tcPr>
            <w:tcW w:type="dxa" w:w="30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Module / Area</w:t>
            </w:r>
          </w:p>
        </w:tc>
        <w:tc>
          <w:tcPr>
            <w:tcW w:type="dxa" w:w="11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Tests</w:t>
            </w:r>
          </w:p>
        </w:tc>
        <w:tc>
          <w:tcPr>
            <w:tcW w:type="dxa" w:w="52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Coverage</w:t>
            </w:r>
          </w:p>
        </w:tc>
      </w:tr>
      <w:tr>
        <w:tc>
          <w:tcPr>
            <w:tcW w:type="dxa" w:w="30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test_collision_probability</w:t>
            </w:r>
          </w:p>
        </w:tc>
        <w:tc>
          <w:tcPr>
            <w:tcW w:type="dxa" w:w="11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18</w:t>
            </w:r>
          </w:p>
        </w:tc>
        <w:tc>
          <w:tcPr>
            <w:tcW w:type="dxa" w:w="52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Foster/Chan Pc, boundary values, numerical stability</w:t>
            </w:r>
          </w:p>
        </w:tc>
      </w:tr>
      <w:tr>
        <w:tc>
          <w:tcPr>
            <w:tcW w:type="dxa" w:w="30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test_cdm_parser</w:t>
            </w:r>
          </w:p>
        </w:tc>
        <w:tc>
          <w:tcPr>
            <w:tcW w:type="dxa" w:w="11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22</w:t>
            </w:r>
          </w:p>
        </w:tc>
        <w:tc>
          <w:tcPr>
            <w:tcW w:type="dxa" w:w="52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CDM parsing, field extraction, malformed input</w:t>
            </w:r>
          </w:p>
        </w:tc>
      </w:tr>
      <w:tr>
        <w:tc>
          <w:tcPr>
            <w:tcW w:type="dxa" w:w="30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test_decision_engine</w:t>
            </w:r>
          </w:p>
        </w:tc>
        <w:tc>
          <w:tcPr>
            <w:tcW w:type="dxa" w:w="11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15</w:t>
            </w:r>
          </w:p>
        </w:tc>
        <w:tc>
          <w:tcPr>
            <w:tcW w:type="dxa" w:w="52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Priority scoring, recommendation logic, confidence</w:t>
            </w:r>
          </w:p>
        </w:tc>
      </w:tr>
      <w:tr>
        <w:tc>
          <w:tcPr>
            <w:tcW w:type="dxa" w:w="30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test_risk_level</w:t>
            </w:r>
          </w:p>
        </w:tc>
        <w:tc>
          <w:tcPr>
            <w:tcW w:type="dxa" w:w="11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9</w:t>
            </w:r>
          </w:p>
        </w:tc>
        <w:tc>
          <w:tcPr>
            <w:tcW w:type="dxa" w:w="52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RED/YELLOW/GREEN classification, thresholds</w:t>
            </w:r>
          </w:p>
        </w:tc>
      </w:tr>
      <w:tr>
        <w:tc>
          <w:tcPr>
            <w:tcW w:type="dxa" w:w="30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test_compute_dv</w:t>
            </w:r>
          </w:p>
        </w:tc>
        <w:tc>
          <w:tcPr>
            <w:tcW w:type="dxa" w:w="11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12</w:t>
            </w:r>
          </w:p>
        </w:tc>
        <w:tc>
          <w:tcPr>
            <w:tcW w:type="dxa" w:w="52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Delta-V, fuel cost, maneuver windows</w:t>
            </w:r>
          </w:p>
        </w:tc>
      </w:tr>
      <w:tr>
        <w:tc>
          <w:tcPr>
            <w:tcW w:type="dxa" w:w="30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test_rank_debris</w:t>
            </w:r>
          </w:p>
        </w:tc>
        <w:tc>
          <w:tcPr>
            <w:tcW w:type="dxa" w:w="11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8</w:t>
            </w:r>
          </w:p>
        </w:tc>
        <w:tc>
          <w:tcPr>
            <w:tcW w:type="dxa" w:w="52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Debris classification, threat scoring, dedup</w:t>
            </w:r>
          </w:p>
        </w:tc>
      </w:tr>
      <w:tr>
        <w:tc>
          <w:tcPr>
            <w:tcW w:type="dxa" w:w="30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VLEO physics (vleo.py)</w:t>
            </w:r>
          </w:p>
        </w:tc>
        <w:tc>
          <w:tcPr>
            <w:tcW w:type="dxa" w:w="11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50</w:t>
            </w:r>
          </w:p>
        </w:tc>
        <w:tc>
          <w:tcPr>
            <w:tcW w:type="dxa" w:w="52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RK4+drag propagation, density, ΔV forecast, cascade, fuel</w:t>
            </w:r>
          </w:p>
        </w:tc>
      </w:tr>
      <w:tr>
        <w:tc>
          <w:tcPr>
            <w:tcW w:type="dxa" w:w="30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Unit + integration totals</w:t>
            </w:r>
          </w:p>
        </w:tc>
        <w:tc>
          <w:tcPr>
            <w:tcW w:type="dxa" w:w="11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134 + 135</w:t>
            </w:r>
          </w:p>
        </w:tc>
        <w:tc>
          <w:tcPr>
            <w:tcW w:type="dxa" w:w="52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Full suite across engine + FastAPI v2 service</w:t>
            </w:r>
          </w:p>
        </w:tc>
      </w:tr>
    </w:tbl>
    <w:p>
      <w:pPr>
        <w:pStyle w:val="Heading1"/>
      </w:pPr>
      <w:r>
        <w:t xml:space="preserve">5. Operational Capabilities</w:t>
      </w:r>
    </w:p>
    <w:p>
      <w:pPr>
        <w:pStyle w:val="Heading2"/>
      </w:pPr>
      <w:r>
        <w:t xml:space="preserve">5.1 Live Data Integration</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2900"/>
        <w:gridCol w:w="2300"/>
        <w:gridCol w:w="2160"/>
        <w:gridCol w:w="2000"/>
      </w:tblGrid>
      <w:tr>
        <w:trPr>
          <w:tblHeader/>
        </w:trPr>
        <w:tc>
          <w:tcPr>
            <w:tcW w:type="dxa" w:w="29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Source</w:t>
            </w:r>
          </w:p>
        </w:tc>
        <w:tc>
          <w:tcPr>
            <w:tcW w:type="dxa" w:w="23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Data Type</w:t>
            </w:r>
          </w:p>
        </w:tc>
        <w:tc>
          <w:tcPr>
            <w:tcW w:type="dxa" w:w="2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Frequency</w:t>
            </w:r>
          </w:p>
        </w:tc>
        <w:tc>
          <w:tcPr>
            <w:tcW w:type="dxa" w:w="20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Status</w:t>
            </w:r>
          </w:p>
        </w:tc>
      </w:tr>
      <w:tr>
        <w:tc>
          <w:tcPr>
            <w:tcW w:type="dxa" w:w="29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Space-Track (18th SDS)</w:t>
            </w:r>
          </w:p>
        </w:tc>
        <w:tc>
          <w:tcPr>
            <w:tcW w:type="dxa" w:w="23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CDM (Cat-4)</w:t>
            </w:r>
          </w:p>
        </w:tc>
        <w:tc>
          <w:tcPr>
            <w:tcW w:type="dxa" w:w="2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Hourly</w:t>
            </w:r>
          </w:p>
        </w:tc>
        <w:tc>
          <w:tcPr>
            <w:tcW w:type="dxa" w:w="20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ACTIVE</w:t>
            </w:r>
          </w:p>
        </w:tc>
      </w:tr>
      <w:tr>
        <w:tc>
          <w:tcPr>
            <w:tcW w:type="dxa" w:w="29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Celestrak</w:t>
            </w:r>
          </w:p>
        </w:tc>
        <w:tc>
          <w:tcPr>
            <w:tcW w:type="dxa" w:w="23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TLE (9 groups)</w:t>
            </w:r>
          </w:p>
        </w:tc>
        <w:tc>
          <w:tcPr>
            <w:tcW w:type="dxa" w:w="2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6-hourly</w:t>
            </w:r>
          </w:p>
        </w:tc>
        <w:tc>
          <w:tcPr>
            <w:tcW w:type="dxa" w:w="20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ACTIVE</w:t>
            </w:r>
          </w:p>
        </w:tc>
      </w:tr>
      <w:tr>
        <w:tc>
          <w:tcPr>
            <w:tcW w:type="dxa" w:w="29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EU SST (SatCen)</w:t>
            </w:r>
          </w:p>
        </w:tc>
        <w:tc>
          <w:tcPr>
            <w:tcW w:type="dxa" w:w="23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FG + RE events</w:t>
            </w:r>
          </w:p>
        </w:tc>
        <w:tc>
          <w:tcPr>
            <w:tcW w:type="dxa" w:w="2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6-hourly</w:t>
            </w:r>
          </w:p>
        </w:tc>
        <w:tc>
          <w:tcPr>
            <w:tcW w:type="dxa" w:w="20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ACTIVE</w:t>
            </w:r>
          </w:p>
        </w:tc>
      </w:tr>
      <w:tr>
        <w:tc>
          <w:tcPr>
            <w:tcW w:type="dxa" w:w="29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NOAA SWPC</w:t>
            </w:r>
          </w:p>
        </w:tc>
        <w:tc>
          <w:tcPr>
            <w:tcW w:type="dxa" w:w="23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Space weather</w:t>
            </w:r>
          </w:p>
        </w:tc>
        <w:tc>
          <w:tcPr>
            <w:tcW w:type="dxa" w:w="2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Hourly</w:t>
            </w:r>
          </w:p>
        </w:tc>
        <w:tc>
          <w:tcPr>
            <w:tcW w:type="dxa" w:w="20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ACTIVE</w:t>
            </w:r>
          </w:p>
        </w:tc>
      </w:tr>
      <w:tr>
        <w:tc>
          <w:tcPr>
            <w:tcW w:type="dxa" w:w="29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TheSpaceDevs</w:t>
            </w:r>
          </w:p>
        </w:tc>
        <w:tc>
          <w:tcPr>
            <w:tcW w:type="dxa" w:w="23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Launch schedule</w:t>
            </w:r>
          </w:p>
        </w:tc>
        <w:tc>
          <w:tcPr>
            <w:tcW w:type="dxa" w:w="2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Daily</w:t>
            </w:r>
          </w:p>
        </w:tc>
        <w:tc>
          <w:tcPr>
            <w:tcW w:type="dxa" w:w="20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ACTIVE</w:t>
            </w:r>
          </w:p>
        </w:tc>
      </w:tr>
    </w:tbl>
    <w:p>
      <w:pPr>
        <w:pStyle w:val="Heading2"/>
      </w:pPr>
      <w:r>
        <w:t xml:space="preserve">5.2 Decision Engine &amp; VLEO Capabilities</w:t>
      </w:r>
    </w:p>
    <w:p>
      <w:pPr>
        <w:pStyle w:val="ListParagraph"/>
        <w:numPr>
          <w:ilvl w:val="0"/>
          <w:numId w:val="2"/>
        </w:numPr>
        <w:spacing w:after="60" w:line="260"/>
      </w:pPr>
      <w:r>
        <w:rPr>
          <w:color w:val="1A2332"/>
          <w:sz w:val="20"/>
          <w:szCs w:val="20"/>
        </w:rPr>
        <w:t xml:space="preserve">Foster/Chan 2D Gaussian Pc computation (N=200 numerical integration).</w:t>
      </w:r>
    </w:p>
    <w:p>
      <w:pPr>
        <w:pStyle w:val="ListParagraph"/>
        <w:numPr>
          <w:ilvl w:val="0"/>
          <w:numId w:val="2"/>
        </w:numPr>
        <w:spacing w:after="60" w:line="260"/>
      </w:pPr>
      <w:r>
        <w:rPr>
          <w:color w:val="1A2332"/>
          <w:sz w:val="20"/>
          <w:szCs w:val="20"/>
        </w:rPr>
        <w:t xml:space="preserve">Priority scoring with multi-factor assessment (Pc magnitude, miss distance, time to TCA).</w:t>
      </w:r>
    </w:p>
    <w:p>
      <w:pPr>
        <w:pStyle w:val="ListParagraph"/>
        <w:numPr>
          <w:ilvl w:val="0"/>
          <w:numId w:val="2"/>
        </w:numPr>
        <w:spacing w:after="60" w:line="260"/>
      </w:pPr>
      <w:r>
        <w:rPr>
          <w:color w:val="1A2332"/>
          <w:sz w:val="20"/>
          <w:szCs w:val="20"/>
        </w:rPr>
        <w:t xml:space="preserve">Maneuver recommendations: Maneuver advised / Monitor / No action.</w:t>
      </w:r>
    </w:p>
    <w:p>
      <w:pPr>
        <w:pStyle w:val="ListParagraph"/>
        <w:numPr>
          <w:ilvl w:val="0"/>
          <w:numId w:val="2"/>
        </w:numPr>
        <w:spacing w:after="60" w:line="260"/>
      </w:pPr>
      <w:r>
        <w:rPr>
          <w:color w:val="1A2332"/>
          <w:sz w:val="20"/>
          <w:szCs w:val="20"/>
        </w:rPr>
        <w:t xml:space="preserve">Cascade analysis: 10,000+ catalog objects screened post-maneuver (Pareto optimization).</w:t>
      </w:r>
    </w:p>
    <w:p>
      <w:pPr>
        <w:pStyle w:val="ListParagraph"/>
        <w:numPr>
          <w:ilvl w:val="0"/>
          <w:numId w:val="2"/>
        </w:numPr>
        <w:spacing w:after="60" w:line="260"/>
      </w:pPr>
      <w:r>
        <w:rPr>
          <w:color w:val="1A2332"/>
          <w:sz w:val="20"/>
          <w:szCs w:val="20"/>
        </w:rPr>
        <w:t xml:space="preserve">72-hour Pc trend analysis with escalation/de-escalation detection.</w:t>
      </w:r>
    </w:p>
    <w:p>
      <w:pPr>
        <w:pStyle w:val="ListParagraph"/>
        <w:numPr>
          <w:ilvl w:val="0"/>
          <w:numId w:val="2"/>
        </w:numPr>
        <w:spacing w:after="60" w:line="260"/>
      </w:pPr>
      <w:r>
        <w:rPr>
          <w:color w:val="1A2332"/>
          <w:sz w:val="20"/>
          <w:szCs w:val="20"/>
        </w:rPr>
        <w:t xml:space="preserve">VLEO drag-aware layer: regime detection, NRLMSIS 2.1 density, drag make-up ΔV, urgency triage.</w:t>
      </w:r>
    </w:p>
    <w:p>
      <w:pPr>
        <w:pStyle w:val="ListParagraph"/>
        <w:numPr>
          <w:ilvl w:val="0"/>
          <w:numId w:val="2"/>
        </w:numPr>
        <w:spacing w:after="60" w:line="260"/>
      </w:pPr>
      <w:r>
        <w:rPr>
          <w:color w:val="1A2332"/>
          <w:sz w:val="20"/>
          <w:szCs w:val="20"/>
        </w:rPr>
        <w:t xml:space="preserve">VLEO station-keeping simulation, fragmentation cascade (self-cleaning timeline), and fuel trade-space.</w:t>
      </w:r>
    </w:p>
    <w:p>
      <w:pPr>
        <w:pStyle w:val="ListParagraph"/>
        <w:numPr>
          <w:ilvl w:val="0"/>
          <w:numId w:val="2"/>
        </w:numPr>
        <w:spacing w:after="60" w:line="260"/>
      </w:pPr>
      <w:r>
        <w:rPr>
          <w:color w:val="1A2332"/>
          <w:sz w:val="20"/>
          <w:szCs w:val="20"/>
        </w:rPr>
        <w:t xml:space="preserve">ML Layer 1: calibrated XGBoost triage with SHAP explainability, fail-safe to deterministic Pc.</w:t>
      </w:r>
    </w:p>
    <w:p>
      <w:pPr>
        <w:pStyle w:val="ListParagraph"/>
        <w:numPr>
          <w:ilvl w:val="0"/>
          <w:numId w:val="2"/>
        </w:numPr>
        <w:spacing w:after="60" w:line="260"/>
      </w:pPr>
      <w:r>
        <w:rPr>
          <w:color w:val="1A2332"/>
          <w:sz w:val="20"/>
          <w:szCs w:val="20"/>
        </w:rPr>
        <w:t xml:space="preserve">Real-time WebSocket conjunction streaming and launch screening.</w:t>
      </w:r>
    </w:p>
    <w:p>
      <w:pPr>
        <w:pStyle w:val="Heading2"/>
      </w:pPr>
      <w:r>
        <w:t xml:space="preserve">5.3 VLEO Validation Evidence</w:t>
      </w:r>
    </w:p>
    <w:p>
      <w:pPr>
        <w:spacing w:after="120" w:line="264"/>
      </w:pPr>
      <w:r>
        <w:rPr>
          <w:rFonts w:ascii="Arial" w:cs="Arial" w:eastAsia="Arial" w:hAnsi="Arial"/>
          <w:color w:val="1A2332"/>
          <w:sz w:val="20"/>
          <w:szCs w:val="20"/>
        </w:rPr>
        <w:t xml:space="preserve">The VLEO layer was validated against the EAGLEEYE satellite (NORAD 60508, 356.8 km):</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3200"/>
        <w:gridCol w:w="6160"/>
      </w:tblGrid>
      <w:tr>
        <w:trPr>
          <w:tblHeader/>
        </w:trPr>
        <w:tc>
          <w:tcPr>
            <w:tcW w:type="dxa" w:w="32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Capability</w:t>
            </w:r>
          </w:p>
        </w:tc>
        <w:tc>
          <w:tcPr>
            <w:tcW w:type="dxa" w:w="61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Result</w:t>
            </w:r>
          </w:p>
        </w:tc>
      </w:tr>
      <w:tr>
        <w:tc>
          <w:tcPr>
            <w:tcW w:type="dxa" w:w="3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Density model</w:t>
            </w:r>
          </w:p>
        </w:tc>
        <w:tc>
          <w:tcPr>
            <w:tcW w:type="dxa" w:w="6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NRLMSIS 2.1 active (pymsis), USSA76 fallback model-tagged</w:t>
            </w:r>
          </w:p>
        </w:tc>
      </w:tr>
      <w:tr>
        <w:tc>
          <w:tcPr>
            <w:tcW w:type="dxa" w:w="3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Station-keeping (full hold)</w:t>
            </w:r>
          </w:p>
        </w:tc>
        <w:tc>
          <w:tcPr>
            <w:tcW w:type="dxa" w:w="6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Altitude held (net ~0 over 30 d); ΔV 11.35 m/s; 2.19 mN @ 500 kg</w:t>
            </w:r>
          </w:p>
        </w:tc>
      </w:tr>
      <w:tr>
        <w:tc>
          <w:tcPr>
            <w:tcW w:type="dxa" w:w="3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Fragmentation self-cleaning</w:t>
            </w:r>
          </w:p>
        </w:tc>
        <w:tc>
          <w:tcPr>
            <w:tcW w:type="dxa" w:w="6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356 km: 99% cleared in ~8 days vs ~26 years at 800 km (~1150×)</w:t>
            </w:r>
          </w:p>
        </w:tc>
      </w:tr>
      <w:tr>
        <w:tc>
          <w:tcPr>
            <w:tcW w:type="dxa" w:w="32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Fuel trade-space</w:t>
            </w:r>
          </w:p>
        </w:tc>
        <w:tc>
          <w:tcPr>
            <w:tcW w:type="dxa" w:w="61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CW ΔV≈Δsep/(3t); earlier maneuvers cheaper; ≤30% drag-makeup reuse</w:t>
            </w:r>
          </w:p>
        </w:tc>
      </w:tr>
      <w:tr>
        <w:tc>
          <w:tcPr>
            <w:tcW w:type="dxa" w:w="32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API surface</w:t>
            </w:r>
          </w:p>
        </w:tc>
        <w:tc>
          <w:tcPr>
            <w:tcW w:type="dxa" w:w="61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6 endpoints; 401 (no token) and 422 (validation) verified</w:t>
            </w:r>
          </w:p>
        </w:tc>
      </w:tr>
    </w:tbl>
    <w:p>
      <w:r>
        <w:br w:type="page"/>
      </w:r>
    </w:p>
    <w:p>
      <w:pPr>
        <w:pStyle w:val="Heading1"/>
      </w:pPr>
      <w:r>
        <w:t xml:space="preserve">6. Known Limitations</w:t>
      </w:r>
    </w:p>
    <w:p>
      <w:pPr>
        <w:spacing w:after="120" w:line="264"/>
      </w:pPr>
      <w:r>
        <w:rPr>
          <w:rFonts w:ascii="Arial" w:cs="Arial" w:eastAsia="Arial" w:hAnsi="Arial"/>
          <w:color w:val="1A2332"/>
          <w:sz w:val="20"/>
          <w:szCs w:val="20"/>
        </w:rPr>
        <w:t xml:space="preserve">In the interest of transparency, CAS acknowledges the following limitations:</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2700"/>
        <w:gridCol w:w="6660"/>
      </w:tblGrid>
      <w:tr>
        <w:trPr>
          <w:tblHeader/>
        </w:trPr>
        <w:tc>
          <w:tcPr>
            <w:tcW w:type="dxa" w:w="27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Limitation</w:t>
            </w:r>
          </w:p>
        </w:tc>
        <w:tc>
          <w:tcPr>
            <w:tcW w:type="dxa" w:w="66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Impact &amp; Mitigation</w:t>
            </w:r>
          </w:p>
        </w:tc>
      </w:tr>
      <w:tr>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No covariance data</w:t>
            </w:r>
          </w:p>
        </w:tc>
        <w:tc>
          <w:tcPr>
            <w:tcW w:type="dxa" w:w="66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CAS uses a default position uncertainty. Absolute Pc differs from providers with full covariance. Mitigated by focus on relative risk ranking and trend detection.</w:t>
            </w:r>
          </w:p>
        </w:tc>
      </w:tr>
      <w:tr>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Public data only</w:t>
            </w:r>
          </w:p>
        </w:tc>
        <w:tc>
          <w:tcPr>
            <w:tcW w:type="dxa" w:w="66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CAS relies on public CDM data (Cat-4). Operators with proprietary ephemeris have more precise assessments. CAS serves as an independent second opinion.</w:t>
            </w:r>
          </w:p>
        </w:tc>
      </w:tr>
      <w:tr>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No maneuver execution</w:t>
            </w:r>
          </w:p>
        </w:tc>
        <w:tc>
          <w:tcPr>
            <w:tcW w:type="dxa" w:w="66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CAS is decision support. It does not execute maneuvers, replace SSA systems, or make autonomous decisions. All authority remains with the operator.</w:t>
            </w:r>
          </w:p>
        </w:tc>
      </w:tr>
      <w:tr>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ML scope</w:t>
            </w:r>
          </w:p>
        </w:tc>
        <w:tc>
          <w:tcPr>
            <w:tcW w:type="dxa" w:w="66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ML Layer 1 covers false-positive triage and fails safe to the deterministic Pc funnel. Uncertainty/confidence quantification (Layer 2) is future work.</w:t>
            </w:r>
          </w:p>
        </w:tc>
      </w:tr>
      <w:tr>
        <w:tc>
          <w:tcPr>
            <w:tcW w:type="dxa" w:w="27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VLEO geometry</w:t>
            </w:r>
          </w:p>
        </w:tc>
        <w:tc>
          <w:tcPr>
            <w:tcW w:type="dxa" w:w="66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VLEO tools use representative geometry at the satellite's altitude; a specific conjunction uses its real miss vector, TCA, and relative velocity. Physics estimates carry ±30–50% solar-cycle sensitivity.</w:t>
            </w:r>
          </w:p>
        </w:tc>
      </w:tr>
      <w:tr>
        <w:tc>
          <w:tcPr>
            <w:tcW w:type="dxa" w:w="27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Solo development</w:t>
            </w:r>
          </w:p>
        </w:tc>
        <w:tc>
          <w:tcPr>
            <w:tcW w:type="dxa" w:w="66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CAS is developed and operated by a single engineer — limiting incident response time but ensuring architectural consistency.</w:t>
            </w:r>
          </w:p>
        </w:tc>
      </w:tr>
    </w:tbl>
    <w:p>
      <w:pPr>
        <w:pStyle w:val="Heading1"/>
      </w:pPr>
      <w:r>
        <w:t xml:space="preserve">7. TRL 5 Evidence Matrix</w:t>
      </w:r>
    </w:p>
    <w:p>
      <w:pPr>
        <w:spacing w:after="120" w:line="264"/>
      </w:pPr>
      <w:r>
        <w:rPr>
          <w:rFonts w:ascii="Arial" w:cs="Arial" w:eastAsia="Arial" w:hAnsi="Arial"/>
          <w:b/>
          <w:bCs/>
          <w:color w:val="1A2332"/>
          <w:sz w:val="20"/>
          <w:szCs w:val="20"/>
        </w:rPr>
        <w:t xml:space="preserve">ISO 16290 TRL 5 criterion: </w:t>
      </w:r>
      <w:r>
        <w:rPr>
          <w:rFonts w:ascii="Arial" w:cs="Arial" w:eastAsia="Arial" w:hAnsi="Arial"/>
          <w:color w:val="1A2332"/>
          <w:sz w:val="20"/>
          <w:szCs w:val="20"/>
        </w:rPr>
        <w:t xml:space="preserve">“component and/or breadboard validation in relevant environment.”</w:t>
      </w:r>
    </w:p>
    <w:tbl>
      <w:tblPr>
        <w:tblW w:type="dxa" w:w="9360"/>
        <w:tblBorders>
          <w:top w:val="single" w:color="C9D6E0" w:sz="2"/>
          <w:left w:val="single" w:color="C9D6E0" w:sz="2"/>
          <w:bottom w:val="single" w:color="C9D6E0" w:sz="2"/>
          <w:right w:val="single" w:color="C9D6E0" w:sz="2"/>
          <w:insideH w:val="single" w:color="C9D6E0" w:sz="2"/>
          <w:insideV w:val="single" w:color="C9D6E0" w:sz="2"/>
        </w:tblBorders>
      </w:tblPr>
      <w:tblGrid>
        <w:gridCol w:w="2500"/>
        <w:gridCol w:w="5460"/>
        <w:gridCol w:w="1400"/>
      </w:tblGrid>
      <w:tr>
        <w:trPr>
          <w:tblHeader/>
        </w:trPr>
        <w:tc>
          <w:tcPr>
            <w:tcW w:type="dxa" w:w="25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Criterion</w:t>
            </w:r>
          </w:p>
        </w:tc>
        <w:tc>
          <w:tcPr>
            <w:tcW w:type="dxa" w:w="546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Evidence</w:t>
            </w:r>
          </w:p>
        </w:tc>
        <w:tc>
          <w:tcPr>
            <w:tcW w:type="dxa" w:w="1400"/>
            <w:shd w:fill="D5EEF3" w:val="clear"/>
            <w:tcMar>
              <w:top w:type="dxa" w:w="60"/>
              <w:left w:type="dxa" w:w="110"/>
              <w:bottom w:type="dxa" w:w="60"/>
              <w:right w:type="dxa" w:w="110"/>
            </w:tcMar>
            <w:vAlign w:val="center"/>
          </w:tcPr>
          <w:p>
            <w:pPr>
              <w:spacing w:after="0" w:line="240"/>
            </w:pPr>
            <w:r>
              <w:rPr>
                <w:rFonts w:ascii="Arial" w:cs="Arial" w:eastAsia="Arial" w:hAnsi="Arial"/>
                <w:b/>
                <w:bCs/>
                <w:color w:val="0B1F3A"/>
                <w:sz w:val="18"/>
                <w:szCs w:val="18"/>
              </w:rPr>
              <w:t xml:space="preserve">Status</w:t>
            </w:r>
          </w:p>
        </w:tc>
      </w:tr>
      <w:tr>
        <w:tc>
          <w:tcPr>
            <w:tcW w:type="dxa" w:w="2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All functions implemented</w:t>
            </w:r>
          </w:p>
        </w:tc>
        <w:tc>
          <w:tcPr>
            <w:tcW w:type="dxa" w:w="54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CDM ingest, Pc, decision engine, cascade, trend, VLEO Phase 1–3, ML Layer 1, alerts, portal</w:t>
            </w:r>
          </w:p>
        </w:tc>
        <w:tc>
          <w:tcPr>
            <w:tcW w:type="dxa" w:w="14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PASS</w:t>
            </w:r>
          </w:p>
        </w:tc>
      </w:tr>
      <w:tr>
        <w:tc>
          <w:tcPr>
            <w:tcW w:type="dxa" w:w="2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Requirements documented</w:t>
            </w:r>
          </w:p>
        </w:tc>
        <w:tc>
          <w:tcPr>
            <w:tcW w:type="dxa" w:w="54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SRS v4.0 (93 requirements)</w:t>
            </w:r>
          </w:p>
        </w:tc>
        <w:tc>
          <w:tcPr>
            <w:tcW w:type="dxa" w:w="14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PASS</w:t>
            </w:r>
          </w:p>
        </w:tc>
      </w:tr>
      <w:tr>
        <w:tc>
          <w:tcPr>
            <w:tcW w:type="dxa" w:w="2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Validated against requirements</w:t>
            </w:r>
          </w:p>
        </w:tc>
        <w:tc>
          <w:tcPr>
            <w:tcW w:type="dxa" w:w="54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99.9% Pc consistency; 134 unit + 135 integration tests; VCRM v2.0 (92/93)</w:t>
            </w:r>
          </w:p>
        </w:tc>
        <w:tc>
          <w:tcPr>
            <w:tcW w:type="dxa" w:w="14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PASS</w:t>
            </w:r>
          </w:p>
        </w:tc>
      </w:tr>
      <w:tr>
        <w:tc>
          <w:tcPr>
            <w:tcW w:type="dxa" w:w="2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Relevant environment</w:t>
            </w:r>
          </w:p>
        </w:tc>
        <w:tc>
          <w:tcPr>
            <w:tcW w:type="dxa" w:w="54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Live Space-Track CDM data; EU-hosted production; 90+ days uptime</w:t>
            </w:r>
          </w:p>
        </w:tc>
        <w:tc>
          <w:tcPr>
            <w:tcW w:type="dxa" w:w="14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PASS</w:t>
            </w:r>
          </w:p>
        </w:tc>
      </w:tr>
      <w:tr>
        <w:tc>
          <w:tcPr>
            <w:tcW w:type="dxa" w:w="2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Documentation complete</w:t>
            </w:r>
          </w:p>
        </w:tc>
        <w:tc>
          <w:tcPr>
            <w:tcW w:type="dxa" w:w="54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SRS, VCRM, Validation Report, User Guide, Visual Guide, this report</w:t>
            </w:r>
          </w:p>
        </w:tc>
        <w:tc>
          <w:tcPr>
            <w:tcW w:type="dxa" w:w="14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PASS</w:t>
            </w:r>
          </w:p>
        </w:tc>
      </w:tr>
      <w:tr>
        <w:tc>
          <w:tcPr>
            <w:tcW w:type="dxa" w:w="25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Limitations documented</w:t>
            </w:r>
          </w:p>
        </w:tc>
        <w:tc>
          <w:tcPr>
            <w:tcW w:type="dxa" w:w="546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Covariance gap, public data only, no autonomy, ML/VLEO scope</w:t>
            </w:r>
          </w:p>
        </w:tc>
        <w:tc>
          <w:tcPr>
            <w:tcW w:type="dxa" w:w="1400"/>
            <w:shd w:fill="F4F8FB" w:val="clear"/>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PASS</w:t>
            </w:r>
          </w:p>
        </w:tc>
      </w:tr>
      <w:tr>
        <w:tc>
          <w:tcPr>
            <w:tcW w:type="dxa" w:w="25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Pilot users</w:t>
            </w:r>
          </w:p>
        </w:tc>
        <w:tc>
          <w:tcPr>
            <w:tcW w:type="dxa" w:w="546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Demo account operational; ESA BIC application submitted; outreach in progress</w:t>
            </w:r>
          </w:p>
        </w:tc>
        <w:tc>
          <w:tcPr>
            <w:tcW w:type="dxa" w:w="1400"/>
            <w:tcMar>
              <w:top w:type="dxa" w:w="60"/>
              <w:left w:type="dxa" w:w="110"/>
              <w:bottom w:type="dxa" w:w="60"/>
              <w:right w:type="dxa" w:w="110"/>
            </w:tcMar>
            <w:vAlign w:val="center"/>
          </w:tcPr>
          <w:p>
            <w:pPr>
              <w:spacing w:after="0" w:line="240"/>
            </w:pPr>
            <w:r>
              <w:rPr>
                <w:rFonts w:ascii="Arial" w:cs="Arial" w:eastAsia="Arial" w:hAnsi="Arial"/>
                <w:color w:val="1A2332"/>
                <w:sz w:val="18"/>
                <w:szCs w:val="18"/>
              </w:rPr>
              <w:t xml:space="preserve">IN PROGRESS</w:t>
            </w:r>
          </w:p>
        </w:tc>
      </w:tr>
    </w:tbl>
    <w:p>
      <w:pPr>
        <w:pStyle w:val="Heading1"/>
      </w:pPr>
      <w:r>
        <w:t xml:space="preserve">8. Conclusion</w:t>
      </w:r>
    </w:p>
    <w:p>
      <w:pPr>
        <w:spacing w:after="120" w:line="264"/>
      </w:pPr>
      <w:r>
        <w:rPr>
          <w:rFonts w:ascii="Arial" w:cs="Arial" w:eastAsia="Arial" w:hAnsi="Arial"/>
          <w:color w:val="1A2332"/>
          <w:sz w:val="20"/>
          <w:szCs w:val="20"/>
        </w:rPr>
        <w:t xml:space="preserve">CAS meets the ISO 16290 TRL 5 criteria with the exception of formal pilot user testing, which is in progress. The platform has operated continuously with live data for over 90 days, processing real conjunction events from four independent data sources and producing consistent risk assessments validated across 5,202 CDMs. Since v2.0 it has added a validated VLEO drag-aware decision layer and a calibrated ML triage layer.</w:t>
      </w:r>
    </w:p>
    <w:p>
      <w:pPr>
        <w:spacing w:after="120" w:line="264"/>
      </w:pPr>
      <w:r>
        <w:rPr>
          <w:rFonts w:ascii="Arial" w:cs="Arial" w:eastAsia="Arial" w:hAnsi="Arial"/>
          <w:color w:val="1A2332"/>
          <w:sz w:val="20"/>
          <w:szCs w:val="20"/>
        </w:rPr>
        <w:t xml:space="preserve">The explicit disclosure of methodology limitations — particularly the covariance gap — demonstrates the platform's commitment to transparency. CAS is positioned as a conjunction decision support tool, not an autonomous collision-avoidance system. All maneuver decisions remain with the operator.</w:t>
      </w:r>
    </w:p>
    <w:p>
      <w:pPr>
        <w:spacing w:after="160"/>
      </w:pPr>
      <w:r>
        <w:t xml:space="preserve"/>
      </w:r>
    </w:p>
    <w:p>
      <w:pPr>
        <w:pBdr>
          <w:bottom w:val="single" w:color="0097B2" w:sz="8" w:space="1"/>
        </w:pBdr>
        <w:spacing w:after="60" w:before="60"/>
      </w:pPr>
      <w:r>
        <w:t xml:space="preserve"/>
      </w:r>
    </w:p>
    <w:p>
      <w:pPr>
        <w:spacing w:after="120" w:line="264"/>
      </w:pPr>
      <w:r>
        <w:rPr>
          <w:rFonts w:ascii="Arial" w:cs="Arial" w:eastAsia="Arial" w:hAnsi="Arial"/>
          <w:i/>
          <w:iCs/>
          <w:color w:val="5A7A94"/>
          <w:sz w:val="18"/>
          <w:szCs w:val="18"/>
        </w:rPr>
        <w:t xml:space="preserve">Data Sources: Space-Track (18th SDS, Cat-4), Celestrak, EU SST, NOAA SWPC. CAS is not affiliated with or endorsed by any data provider. Analysis is processed on EU-hosted infrastructure under international data-protection standards.</w:t>
      </w:r>
    </w:p>
    <w:p>
      <w:pPr>
        <w:spacing w:after="120" w:line="264"/>
        <w:jc w:val="center"/>
      </w:pPr>
      <w:r>
        <w:rPr>
          <w:rFonts w:ascii="Arial" w:cs="Arial" w:eastAsia="Arial" w:hAnsi="Arial"/>
          <w:b/>
          <w:bCs/>
          <w:color w:val="0B1F3A"/>
          <w:sz w:val="20"/>
          <w:szCs w:val="20"/>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0" w:sz="4" w:space="4"/>
      </w:pBdr>
      <w:tabs>
        <w:tab w:val="center" w:pos="4680"/>
        <w:tab w:val="right" w:pos="9360"/>
      </w:tabs>
      <w:spacing w:before="0"/>
    </w:pPr>
    <w:r>
      <w:rPr>
        <w:rFonts w:ascii="Consolas" w:cs="Consolas" w:eastAsia="Consolas" w:hAnsi="Consolas"/>
        <w:color w:val="5A7A94"/>
        <w:sz w:val="16"/>
        <w:szCs w:val="16"/>
      </w:rPr>
      <w:t xml:space="preserve">CAS-EVD-003 · v3.0</w:t>
    </w:r>
    <w:r>
      <w:rPr>
        <w:rFonts w:ascii="Consolas" w:cs="Consolas" w:eastAsia="Consolas" w:hAnsi="Consolas"/>
        <w:color w:val="5A7A94"/>
        <w:sz w:val="16"/>
        <w:szCs w:val="16"/>
      </w:rPr>
      <w:t xml:space="preserve">	CONFIDENTIAL — PUBLIC</w:t>
    </w:r>
    <w:r>
      <w:rPr>
        <w:rFonts w:ascii="Consolas" w:cs="Consolas" w:eastAsia="Consolas" w:hAnsi="Consolas"/>
        <w:color w:val="5A7A94"/>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0" w:sz="4" w:space="4"/>
      </w:pBdr>
      <w:tabs>
        <w:tab w:val="right" w:pos="9360"/>
      </w:tabs>
      <w:spacing w:after="0"/>
    </w:pPr>
    <w:r>
      <w:rPr>
        <w:rFonts w:ascii="Consolas" w:cs="Consolas" w:eastAsia="Consolas" w:hAnsi="Consolas"/>
        <w:b/>
        <w:bCs/>
        <w:color w:val="0097B2"/>
        <w:spacing w:val="20"/>
        <w:sz w:val="16"/>
        <w:szCs w:val="16"/>
      </w:rPr>
      <w:t xml:space="preserve">CAS PLATFORM</w:t>
    </w:r>
    <w:r>
      <w:rPr>
        <w:rFonts w:ascii="Consolas" w:cs="Consolas" w:eastAsia="Consolas" w:hAnsi="Consolas"/>
        <w:color w:val="5A7A94"/>
        <w:sz w:val="16"/>
        <w:szCs w:val="16"/>
      </w:rPr>
      <w:t xml:space="preserve">	TRL 5 Operational Evidence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3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97B2" w:sz="8" w:space="6"/>
      </w:pBdr>
      <w:spacing w:after="140" w:before="360"/>
      <w:outlineLvl w:val="0"/>
    </w:pPr>
    <w:rPr>
      <w:rFonts w:ascii="Arial" w:cs="Arial" w:eastAsia="Arial" w:hAnsi="Arial"/>
      <w:b/>
      <w:bCs/>
      <w:color w:val="0B1F3A"/>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13294B"/>
      <w:sz w:val="24"/>
      <w:szCs w:val="24"/>
    </w:rPr>
  </w:style>
  <w:style w:type="paragraph" w:styleId="Heading3">
    <w:name w:val="Heading 3"/>
    <w:basedOn w:val="Normal"/>
    <w:next w:val="Normal"/>
    <w:qFormat/>
    <w:pPr>
      <w:spacing w:after="80" w:before="180"/>
      <w:outlineLvl w:val="2"/>
    </w:pPr>
    <w:rPr>
      <w:rFonts w:ascii="Arial" w:cs="Arial" w:eastAsia="Arial" w:hAnsi="Arial"/>
      <w:b/>
      <w:bCs/>
      <w:color w:val="0097B2"/>
      <w:sz w:val="21"/>
      <w:szCs w:val="21"/>
    </w:rPr>
  </w:style>
  <w:style w:type="paragraph" w:styleId="Normal">
    <w:name w:val="Normal"/>
    <w:pPr>
      <w:spacing w:after="120" w:line="264"/>
    </w:pPr>
    <w:rPr>
      <w:rFonts w:ascii="Arial" w:cs="Arial" w:eastAsia="Arial" w:hAnsi="Arial"/>
      <w:color w:val="1A2332"/>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 Platform — TRL 5 Operational Evidence Report v3.0</dc:title>
  <dc:creator>CAS Platform</dc:creator>
  <cp:lastModifiedBy>Un-named</cp:lastModifiedBy>
  <cp:revision>1</cp:revision>
  <dcterms:created xsi:type="dcterms:W3CDTF">2026-06-22T18:52:21.552Z</dcterms:created>
  <dcterms:modified xsi:type="dcterms:W3CDTF">2026-06-22T18:52:21.553Z</dcterms:modified>
</cp:coreProperties>
</file>

<file path=docProps/custom.xml><?xml version="1.0" encoding="utf-8"?>
<Properties xmlns="http://schemas.openxmlformats.org/officeDocument/2006/custom-properties" xmlns:vt="http://schemas.openxmlformats.org/officeDocument/2006/docPropsVTypes"/>
</file>