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rPr>
          <w:rFonts w:ascii="Consolas" w:cs="Consolas" w:eastAsia="Consolas" w:hAnsi="Consolas"/>
          <w:b/>
          <w:bCs/>
          <w:color w:val="0097B2"/>
          <w:spacing w:val="60"/>
          <w:sz w:val="24"/>
          <w:szCs w:val="24"/>
        </w:rPr>
        <w:t xml:space="preserve">CAS PLATFORM</w:t>
      </w:r>
    </w:p>
    <w:p>
      <w:pPr>
        <w:pBdr>
          <w:bottom w:val="single" w:color="0B1F3A" w:sz="18" w:space="8"/>
        </w:pBdr>
        <w:spacing w:after="40" w:before="0"/>
      </w:pPr>
      <w:r>
        <w:rPr>
          <w:rFonts w:ascii="Consolas" w:cs="Consolas" w:eastAsia="Consolas" w:hAnsi="Consolas"/>
          <w:color w:val="5A7A94"/>
          <w:spacing w:val="30"/>
          <w:sz w:val="16"/>
          <w:szCs w:val="16"/>
        </w:rPr>
        <w:t xml:space="preserve">CONJUNCTION DECISION SUPPORT</w:t>
      </w:r>
    </w:p>
    <w:p>
      <w:pPr>
        <w:spacing w:after="1400"/>
      </w:pPr>
      <w:r>
        <w:t xml:space="preserve"/>
      </w:r>
    </w:p>
    <w:p>
      <w:pPr>
        <w:spacing w:after="80"/>
      </w:pPr>
      <w:r>
        <w:rPr>
          <w:rFonts w:ascii="Consolas" w:cs="Consolas" w:eastAsia="Consolas" w:hAnsi="Consolas"/>
          <w:b/>
          <w:bCs/>
          <w:color w:val="0097B2"/>
          <w:spacing w:val="40"/>
          <w:sz w:val="20"/>
          <w:szCs w:val="20"/>
        </w:rPr>
        <w:t xml:space="preserve">VALIDATION REPORT</w:t>
      </w:r>
    </w:p>
    <w:p>
      <w:pPr>
        <w:spacing w:after="60"/>
      </w:pPr>
      <w:r>
        <w:rPr>
          <w:b/>
          <w:bCs/>
          <w:color w:val="0B1F3A"/>
          <w:sz w:val="52"/>
          <w:szCs w:val="52"/>
        </w:rPr>
        <w:t xml:space="preserve">Validation Report</w:t>
      </w:r>
    </w:p>
    <w:p>
      <w:pPr>
        <w:spacing w:after="0"/>
      </w:pPr>
      <w:r>
        <w:rPr>
          <w:color w:val="5A7A94"/>
          <w:sz w:val="26"/>
          <w:szCs w:val="26"/>
        </w:rPr>
        <w:t xml:space="preserve">CAS Platform · Independent European Conjunction Decision Support</w:t>
      </w:r>
    </w:p>
    <w:p>
      <w:pPr>
        <w:spacing w:after="1600"/>
      </w:pPr>
      <w:r>
        <w:t xml:space="preserve"/>
      </w:r>
    </w:p>
    <w:tbl>
      <w:tblPr>
        <w:tblW w:type="dxa" w:w="9360"/>
        <w:tblBorders>
          <w:top w:val="single" w:color="0097B2" w:sz="4"/>
          <w:left w:val="none"/>
          <w:bottom w:val="single" w:color="0097B2" w:sz="4"/>
          <w:right w:val="none"/>
          <w:insideH w:val="none"/>
          <w:insideV w:val="single" w:color="C9D6E0" w:sz="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5A7A94"/>
                <w:spacing w:val="20"/>
                <w:sz w:val="16"/>
                <w:szCs w:val="16"/>
              </w:rPr>
              <w:t xml:space="preserve">VERSION
</w:t>
            </w:r>
            <w:r>
              <w:br/>
              <w:t xml:space="preserve"/>
            </w:r>
            <w:r>
              <w:rPr>
                <w:b/>
                <w:bCs/>
                <w:color w:val="0B1F3A"/>
                <w:sz w:val="20"/>
                <w:szCs w:val="20"/>
              </w:rPr>
              <w:t xml:space="preserve">2.0</w:t>
            </w:r>
          </w:p>
        </w:tc>
        <w:tc>
          <w:tcPr>
            <w:tcW w:type="dxa" w:w="23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5A7A94"/>
                <w:spacing w:val="20"/>
                <w:sz w:val="16"/>
                <w:szCs w:val="16"/>
              </w:rPr>
              <w:t xml:space="preserve">DATE
</w:t>
            </w:r>
            <w:r>
              <w:br/>
              <w:t xml:space="preserve"/>
            </w:r>
            <w:r>
              <w:rPr>
                <w:b/>
                <w:bCs/>
                <w:color w:val="0B1F3A"/>
                <w:sz w:val="20"/>
                <w:szCs w:val="20"/>
              </w:rPr>
              <w:t xml:space="preserve">June 2026</w:t>
            </w:r>
          </w:p>
        </w:tc>
        <w:tc>
          <w:tcPr>
            <w:tcW w:type="dxa" w:w="23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5A7A94"/>
                <w:spacing w:val="20"/>
                <w:sz w:val="16"/>
                <w:szCs w:val="16"/>
              </w:rPr>
              <w:t xml:space="preserve">MATURITY
</w:t>
            </w:r>
            <w:r>
              <w:br/>
              <w:t xml:space="preserve"/>
            </w:r>
            <w:r>
              <w:rPr>
                <w:b/>
                <w:bCs/>
                <w:color w:val="0B1F3A"/>
                <w:sz w:val="20"/>
                <w:szCs w:val="20"/>
              </w:rPr>
              <w:t xml:space="preserve">TRL 5</w:t>
            </w:r>
          </w:p>
        </w:tc>
        <w:tc>
          <w:tcPr>
            <w:tcW w:type="dxa" w:w="23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5A7A94"/>
                <w:spacing w:val="20"/>
                <w:sz w:val="16"/>
                <w:szCs w:val="16"/>
              </w:rPr>
              <w:t xml:space="preserve">STATUS
</w:t>
            </w:r>
            <w:r>
              <w:br/>
              <w:t xml:space="preserve"/>
            </w:r>
            <w:r>
              <w:rPr>
                <w:b/>
                <w:bCs/>
                <w:color w:val="0B1F3A"/>
                <w:sz w:val="20"/>
                <w:szCs w:val="20"/>
              </w:rPr>
              <w:t xml:space="preserve">PUBLIC</w:t>
            </w:r>
          </w:p>
        </w:tc>
      </w:tr>
    </w:tbl>
    <w:p>
      <w:pPr>
        <w:spacing w:after="300"/>
      </w:pPr>
      <w: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5A7A94"/>
          <w:sz w:val="16"/>
          <w:szCs w:val="16"/>
        </w:rPr>
        <w:t xml:space="preserve">Document ID  </w:t>
      </w:r>
      <w:r>
        <w:rPr>
          <w:rFonts w:ascii="Consolas" w:cs="Consolas" w:eastAsia="Consolas" w:hAnsi="Consolas"/>
          <w:b/>
          <w:bCs/>
          <w:color w:val="13294B"/>
          <w:sz w:val="16"/>
          <w:szCs w:val="16"/>
        </w:rPr>
        <w:t xml:space="preserve">CAS-VAL-002    </w:t>
      </w:r>
      <w:r>
        <w:rPr>
          <w:rFonts w:ascii="Consolas" w:cs="Consolas" w:eastAsia="Consolas" w:hAnsi="Consolas"/>
          <w:color w:val="5A7A94"/>
          <w:sz w:val="16"/>
          <w:szCs w:val="16"/>
        </w:rPr>
        <w:t xml:space="preserve">Standard  </w:t>
      </w:r>
      <w:r>
        <w:rPr>
          <w:rFonts w:ascii="Consolas" w:cs="Consolas" w:eastAsia="Consolas" w:hAnsi="Consolas"/>
          <w:b/>
          <w:bCs/>
          <w:color w:val="13294B"/>
          <w:sz w:val="16"/>
          <w:szCs w:val="16"/>
        </w:rPr>
        <w:t xml:space="preserve">ISO 16290 / ECSS-E-ST-40C</w:t>
      </w:r>
    </w:p>
    <w:p>
      <w:pPr>
        <w:spacing w:after="2600"/>
      </w:pPr>
      <w:r>
        <w:t xml:space="preserve"/>
      </w:r>
    </w:p>
    <w:p>
      <w:pPr>
        <w:pBdr>
          <w:top w:val="single" w:color="0097B2" w:sz="8" w:space="8"/>
        </w:pBdr>
        <w:spacing w:after="0"/>
        <w:jc w:val="center"/>
      </w:pPr>
      <w:r>
        <w:rPr>
          <w:rFonts w:ascii="Consolas" w:cs="Consolas" w:eastAsia="Consolas" w:hAnsi="Consolas"/>
          <w:b/>
          <w:bCs/>
          <w:color w:val="0097B2"/>
          <w:sz w:val="18"/>
          <w:szCs w:val="18"/>
        </w:rPr>
        <w:t xml:space="preserve">casplatform.com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Document Information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CAS Platform — Validation Report (Component Validation &amp; Test Evidence)</w:t>
            </w:r>
          </w:p>
        </w:tc>
      </w:tr>
      <w:tr>
        <w:tc>
          <w:tcPr>
            <w:tcW w:type="dxa" w:w="26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CAS-VAL-002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6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Date</w:t>
            </w:r>
          </w:p>
        </w:tc>
        <w:tc>
          <w:tcPr>
            <w:tcW w:type="dxa" w:w="6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June 2026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Traces To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CAS-SRS-004, CAS-VCRM-002</w:t>
            </w:r>
          </w:p>
        </w:tc>
      </w:tr>
      <w:tr>
        <w:tc>
          <w:tcPr>
            <w:tcW w:type="dxa" w:w="26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Standard</w:t>
            </w:r>
          </w:p>
        </w:tc>
        <w:tc>
          <w:tcPr>
            <w:tcW w:type="dxa" w:w="6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ISO 16290 (TRL) / ECSS-E-ST-40C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Public</w:t>
            </w:r>
          </w:p>
        </w:tc>
      </w:tr>
    </w:tbl>
    <w:p>
      <w:pPr>
        <w:pStyle w:val="Heading1"/>
      </w:pPr>
      <w:r>
        <w:t xml:space="preserve">1. Executive Summary</w:t>
      </w:r>
    </w:p>
    <w:p>
      <w:pPr>
        <w:spacing w:after="120" w:line="264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CAS (Conjunction Decision Support) helps LEO and VLEO satellite operators manage collision risk by transforming raw Conjunction Data Messages (CDMs) into actionable decision-support output.</w:t>
      </w:r>
    </w:p>
    <w:p>
      <w:pPr>
        <w:spacing w:after="120" w:line="264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This report documents the automated validation of CAS's computational core — the mathematical and algorithmic functions that produce collision-probability estimates, risk classifications, maneuver recommendations, threat rankings, drag-aware VLEO outputs, and the ML Layer 1 triage score. Since v1.x the suite has grown to include the VLEO physics layer and an integration-test tier, and the ML model has been validated on a held-out set.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A7F4B" w:sz="24"/>
              <w:bottom w:val="none"/>
              <w:right w:val="none"/>
            </w:tcBorders>
            <w:shd w:fill="EAF6E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A7F4B"/>
                <w:spacing w:val="20"/>
                <w:sz w:val="16"/>
                <w:szCs w:val="16"/>
              </w:rPr>
              <w:t xml:space="preserve">HEADLINE RESULT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134 automated unit tests + 135 integration tests, </w:t>
            </w: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with a 100% pass rate, plus a 04:00 smoke-test cron. The Foster-Chan collision-probability implementation converges to the analytical closed-form solution within 10⁻³ tolerance. ML Layer 1 achieves AUC 0.953 on held-out data.</w:t>
            </w:r>
          </w:p>
        </w:tc>
      </w:tr>
    </w:tbl>
    <w:p>
      <w:pPr>
        <w:spacing w:after="120" w:line="264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This report does not claim that CAS produces absolute collision probabilities — it validates that the computational pipeline is internally consistent, mathematically correct where verifiable, and robust against malformed input. The distinction between consistency and accuracy is addressed in §6.1.</w:t>
      </w:r>
    </w:p>
    <w:p>
      <w:pPr>
        <w:pStyle w:val="Heading1"/>
      </w:pPr>
      <w:r>
        <w:t xml:space="preserve">2. Scope &amp; Methodology</w:t>
      </w:r>
    </w:p>
    <w:p>
      <w:pPr>
        <w:pStyle w:val="Heading2"/>
      </w:pPr>
      <w:r>
        <w:t xml:space="preserve">2.1 What This Report Covers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1A2332"/>
          <w:sz w:val="20"/>
          <w:szCs w:val="20"/>
        </w:rPr>
        <w:t xml:space="preserve">In scope: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Foster-integral Pc and Bessel I₀; CDM parser; risk classifier; decision engine (priority/recommendation/confidence); ΔV solver; trend forecast; debris ranking; VLEO physics (drag propagation, density, ΔV forecast, station-keeping, cascade, fuel trade-space); ML Layer 1 inference and calibration; component-to-component integration.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1A2332"/>
          <w:sz w:val="20"/>
          <w:szCs w:val="20"/>
        </w:rPr>
        <w:t xml:space="preserve">Validated operationally (not by unit tests):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HTTP routing, database CRUD, email delivery, authentication, and third-party integrations — covered by 90+ days of continuous production and the integration tier.</w:t>
      </w:r>
    </w:p>
    <w:p>
      <w:pPr>
        <w:pStyle w:val="Heading2"/>
      </w:pPr>
      <w:r>
        <w:t xml:space="preserve">2.2 Methodology</w:t>
      </w:r>
    </w:p>
    <w:p>
      <w:pPr>
        <w:spacing w:after="120" w:line="264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Validation is performed via automated tests using pytest (Python 3.12). Tests are deterministic and self-contained, exercising boundary conditions, monotonicity invariants, schema robustness, and — where analytical solutions exist — cross-checking numerical implementations against closed-form references. The ML model is validated against a held-out set with leakage controls verified via SHAP attribution.</w:t>
      </w:r>
    </w:p>
    <w:p>
      <w:pPr>
        <w:pStyle w:val="Heading2"/>
      </w:pPr>
      <w:r>
        <w:t xml:space="preserve">2.3 Test Organization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3000"/>
        <w:gridCol w:w="4060"/>
        <w:gridCol w:w="2300"/>
      </w:tblGrid>
      <w:tr>
        <w:trPr>
          <w:tblHeader/>
        </w:trPr>
        <w:tc>
          <w:tcPr>
            <w:tcW w:type="dxa" w:w="30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Area</w:t>
            </w:r>
          </w:p>
        </w:tc>
        <w:tc>
          <w:tcPr>
            <w:tcW w:type="dxa" w:w="406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Module</w:t>
            </w:r>
          </w:p>
        </w:tc>
        <w:tc>
          <w:tcPr>
            <w:tcW w:type="dxa" w:w="23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Tests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Foster Pc + Bessel I₀</w:t>
            </w:r>
          </w:p>
        </w:tc>
        <w:tc>
          <w:tcPr>
            <w:tcW w:type="dxa" w:w="40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test_collision_probability.py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30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CDM ingestion</w:t>
            </w:r>
          </w:p>
        </w:tc>
        <w:tc>
          <w:tcPr>
            <w:tcW w:type="dxa" w:w="40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test_cdm_parser.py</w:t>
            </w:r>
          </w:p>
        </w:tc>
        <w:tc>
          <w:tcPr>
            <w:tcW w:type="dxa" w:w="23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Risk classifier</w:t>
            </w:r>
          </w:p>
        </w:tc>
        <w:tc>
          <w:tcPr>
            <w:tcW w:type="dxa" w:w="40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test_risk_level.py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30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Decision output logic</w:t>
            </w:r>
          </w:p>
        </w:tc>
        <w:tc>
          <w:tcPr>
            <w:tcW w:type="dxa" w:w="40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test_decision_engine.py</w:t>
            </w:r>
          </w:p>
        </w:tc>
        <w:tc>
          <w:tcPr>
            <w:tcW w:type="dxa" w:w="23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ΔV solver + trend forecast</w:t>
            </w:r>
          </w:p>
        </w:tc>
        <w:tc>
          <w:tcPr>
            <w:tcW w:type="dxa" w:w="40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test_compute_dv.py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30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Debris ranking</w:t>
            </w:r>
          </w:p>
        </w:tc>
        <w:tc>
          <w:tcPr>
            <w:tcW w:type="dxa" w:w="40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test_rank_debris.py</w:t>
            </w:r>
          </w:p>
        </w:tc>
        <w:tc>
          <w:tcPr>
            <w:tcW w:type="dxa" w:w="23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VLEO physics</w:t>
            </w:r>
          </w:p>
        </w:tc>
        <w:tc>
          <w:tcPr>
            <w:tcW w:type="dxa" w:w="40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suite (vleo.py)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30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Integration tier</w:t>
            </w:r>
          </w:p>
        </w:tc>
        <w:tc>
          <w:tcPr>
            <w:tcW w:type="dxa" w:w="40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integration/</w:t>
            </w:r>
          </w:p>
        </w:tc>
        <w:tc>
          <w:tcPr>
            <w:tcW w:type="dxa" w:w="23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135</w:t>
            </w:r>
          </w:p>
        </w:tc>
      </w:tr>
    </w:tbl>
    <w:p>
      <w:pPr>
        <w:pStyle w:val="Heading2"/>
      </w:pPr>
      <w:r>
        <w:t xml:space="preserve">2.4 Reproducibility</w:t>
      </w:r>
    </w:p>
    <w:p>
      <w:pPr>
        <w:spacing w:after="120" w:line="264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The suite is reproducible via the test runner: </w:t>
      </w:r>
      <w:r>
        <w:rPr>
          <w:rFonts w:ascii="Consolas" w:cs="Consolas" w:eastAsia="Consolas" w:hAnsi="Consolas"/>
          <w:color w:val="13294B"/>
          <w:sz w:val="18"/>
          <w:szCs w:val="18"/>
        </w:rPr>
        <w:t xml:space="preserve">./run_tests.sh all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. Unit + integration tiers execute against the production codebase; a smoke subset runs on a 04:00 cron to </w:t>
      </w:r>
      <w:r>
        <w:rPr>
          <w:rFonts w:ascii="Consolas" w:cs="Consolas" w:eastAsia="Consolas" w:hAnsi="Consolas"/>
          <w:color w:val="13294B"/>
          <w:sz w:val="18"/>
          <w:szCs w:val="18"/>
        </w:rPr>
        <w:t xml:space="preserve">/var/log/cas_smoke.log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.</w:t>
      </w:r>
    </w:p>
    <w:p>
      <w:r>
        <w:br w:type="page"/>
      </w:r>
    </w:p>
    <w:p>
      <w:pPr>
        <w:pStyle w:val="Heading1"/>
      </w:pPr>
      <w:r>
        <w:t xml:space="preserve">3. Component Validation</w:t>
      </w:r>
    </w:p>
    <w:p>
      <w:pPr>
        <w:pStyle w:val="Heading2"/>
      </w:pPr>
      <w:r>
        <w:t xml:space="preserve">3.1 Foster-Integral Collision Probability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1A2332"/>
          <w:sz w:val="20"/>
          <w:szCs w:val="20"/>
        </w:rPr>
        <w:t xml:space="preserve">Implementation: </w:t>
      </w:r>
      <w:r>
        <w:rPr>
          <w:rFonts w:ascii="Consolas" w:cs="Consolas" w:eastAsia="Consolas" w:hAnsi="Consolas"/>
          <w:color w:val="13294B"/>
          <w:sz w:val="18"/>
          <w:szCs w:val="18"/>
        </w:rPr>
        <w:t xml:space="preserve">collision_probability(miss_m, sigma, hbr)</w:t>
      </w:r>
    </w:p>
    <w:p>
      <w:pPr>
        <w:spacing w:after="120" w:line="264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Foster's method (1992) reduces the 2D Gaussian collision integral to a single-variable integral involving the modified Bessel function I₀, evaluated by rectangle-rule integration (N=200).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Property</w:t>
            </w:r>
          </w:p>
        </w:tc>
        <w:tc>
          <w:tcPr>
            <w:tcW w:type="dxa" w:w="46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Test Reference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I₀(0) = 1 (analytical)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test_i0_at_zero_is_one</w:t>
            </w:r>
          </w:p>
        </w:tc>
      </w:tr>
      <w:tr>
        <w:tc>
          <w:tcPr>
            <w:tcW w:type="dxa" w:w="46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I₀(1) ≈ 1.2660658732 (tabulated)</w:t>
            </w:r>
          </w:p>
        </w:tc>
        <w:tc>
          <w:tcPr>
            <w:tcW w:type="dxa" w:w="46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test_i0_small_arg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I₀(5) ≈ 27.2398718 (tabulated)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test_i0_large_arg</w:t>
            </w:r>
          </w:p>
        </w:tc>
      </w:tr>
      <w:tr>
        <w:tc>
          <w:tcPr>
            <w:tcW w:type="dxa" w:w="46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I₀ symmetry: I₀(−x) = I₀(x)</w:t>
            </w:r>
          </w:p>
        </w:tc>
        <w:tc>
          <w:tcPr>
            <w:tcW w:type="dxa" w:w="46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test_i0_symmetric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σ &lt; 10⁻³ guard → returns 0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test_sigma_below_threshold_returns_zero</w:t>
            </w:r>
          </w:p>
        </w:tc>
      </w:tr>
      <w:tr>
        <w:tc>
          <w:tcPr>
            <w:tcW w:type="dxa" w:w="46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Head-on matches analytical closed-form</w:t>
            </w:r>
          </w:p>
        </w:tc>
        <w:tc>
          <w:tcPr>
            <w:tcW w:type="dxa" w:w="46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test_zero_miss_high_pc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Far miss → Pc &lt; 10⁻¹⁵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test_far_miss_near_zero_pc</w:t>
            </w:r>
          </w:p>
        </w:tc>
      </w:tr>
      <w:tr>
        <w:tc>
          <w:tcPr>
            <w:tcW w:type="dxa" w:w="46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Monotonic decrease with miss distance</w:t>
            </w:r>
          </w:p>
        </w:tc>
        <w:tc>
          <w:tcPr>
            <w:tcW w:type="dxa" w:w="46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test_monotonic_decrease_with_miss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Output bounded to [0, 1]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test_bounded_range</w:t>
            </w:r>
          </w:p>
        </w:tc>
      </w:tr>
    </w:tbl>
    <w:p>
      <w:pPr>
        <w:spacing w:after="120" w:line="264"/>
      </w:pPr>
      <w:r>
        <w:rPr>
          <w:rFonts w:ascii="Arial" w:cs="Arial" w:eastAsia="Arial" w:hAnsi="Arial"/>
          <w:b/>
          <w:bCs/>
          <w:color w:val="1A2332"/>
          <w:sz w:val="20"/>
          <w:szCs w:val="20"/>
        </w:rPr>
        <w:t xml:space="preserve">Result: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18 / 18 pass.</w:t>
      </w:r>
    </w:p>
    <w:p>
      <w:pPr>
        <w:pStyle w:val="Heading2"/>
      </w:pPr>
      <w:r>
        <w:t xml:space="preserve">3.2 CDM Parser, Risk Classifier, Decision Engine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1A2332"/>
          <w:sz w:val="20"/>
          <w:szCs w:val="20"/>
        </w:rPr>
        <w:t xml:space="preserve">CDM parser </w:t>
      </w:r>
      <w:r>
        <w:rPr>
          <w:rFonts w:ascii="Consolas" w:cs="Consolas" w:eastAsia="Consolas" w:hAnsi="Consolas"/>
          <w:color w:val="13294B"/>
          <w:sz w:val="18"/>
          <w:szCs w:val="18"/>
        </w:rPr>
        <w:t xml:space="preserve">parse_cdm()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 — robust against schema drift via field-fallback chains and graceful type coercion (DB-failure branch exercised via invalid fixture). 22 / 22 pass.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1A2332"/>
          <w:sz w:val="20"/>
          <w:szCs w:val="20"/>
        </w:rPr>
        <w:t xml:space="preserve">Risk classifier </w:t>
      </w:r>
      <w:r>
        <w:rPr>
          <w:rFonts w:ascii="Consolas" w:cs="Consolas" w:eastAsia="Consolas" w:hAnsi="Consolas"/>
          <w:color w:val="13294B"/>
          <w:sz w:val="18"/>
          <w:szCs w:val="18"/>
        </w:rPr>
        <w:t xml:space="preserve">risk_level()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 — RED (Pc&gt;1×10⁻⁴, &lt;200 m), YELLOW (&gt;1×10⁻⁵, &lt;1000 m), GREEN otherwise; strict '&gt;' (Pc=1×10⁻⁴ → YELLOW, conservative). 9 / 9 pass.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1A2332"/>
          <w:sz w:val="20"/>
          <w:szCs w:val="20"/>
        </w:rPr>
        <w:t xml:space="preserve">Decision engine </w:t>
      </w:r>
      <w:r>
        <w:rPr>
          <w:rFonts w:ascii="Consolas" w:cs="Consolas" w:eastAsia="Consolas" w:hAnsi="Consolas"/>
          <w:color w:val="13294B"/>
          <w:sz w:val="18"/>
          <w:szCs w:val="18"/>
        </w:rPr>
        <w:t xml:space="preserve">DecisionEngine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 — priority (score boundaries, monotonicity, None-timing safety), recommendation (RED→Maneuver, TCA-passed→Monitor), confidence (TCA × Pc-extremity matrix). 15 / 15 pass.</w:t>
      </w:r>
    </w:p>
    <w:p>
      <w:pPr>
        <w:pStyle w:val="Heading2"/>
      </w:pPr>
      <w:r>
        <w:t xml:space="preserve">3.3 ΔV Computation, Trend Forecast, Debris Ranking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1A2332"/>
          <w:sz w:val="20"/>
          <w:szCs w:val="20"/>
        </w:rPr>
        <w:t xml:space="preserve">ΔV solver </w:t>
      </w:r>
      <w:r>
        <w:rPr>
          <w:rFonts w:ascii="Consolas" w:cs="Consolas" w:eastAsia="Consolas" w:hAnsi="Consolas"/>
          <w:color w:val="13294B"/>
          <w:sz w:val="18"/>
          <w:szCs w:val="18"/>
        </w:rPr>
        <w:t xml:space="preserve">compute_dv()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 — binary search (40 iterations, ~10⁻¹² precision); monotonicity (farther miss → less ΔV, shorter lead → more ΔV) and result verification. 12 / 12 pass.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1A2332"/>
          <w:sz w:val="20"/>
          <w:szCs w:val="20"/>
        </w:rPr>
        <w:t xml:space="preserve">Trend forecast </w:t>
      </w:r>
      <w:r>
        <w:rPr>
          <w:rFonts w:ascii="Consolas" w:cs="Consolas" w:eastAsia="Consolas" w:hAnsi="Consolas"/>
          <w:color w:val="13294B"/>
          <w:sz w:val="18"/>
          <w:szCs w:val="18"/>
        </w:rPr>
        <w:t xml:space="preserve">_simple_forecast()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 — linear extrapolation over 12/24/48/72 h with Pc clamping and horizon-degrading confidence. Pass.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1A2332"/>
          <w:sz w:val="20"/>
          <w:szCs w:val="20"/>
        </w:rPr>
        <w:t xml:space="preserve">Debris ranking </w:t>
      </w:r>
      <w:r>
        <w:rPr>
          <w:rFonts w:ascii="Consolas" w:cs="Consolas" w:eastAsia="Consolas" w:hAnsi="Consolas"/>
          <w:color w:val="13294B"/>
          <w:sz w:val="18"/>
          <w:szCs w:val="18"/>
        </w:rPr>
        <w:t xml:space="preserve">compute_rankings()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 — threat score, name-pattern debris classification, altitude bands, deduplication, active-vs-active exclusion. 8 / 8 pass.</w:t>
      </w:r>
    </w:p>
    <w:p>
      <w:r>
        <w:br w:type="page"/>
      </w:r>
    </w:p>
    <w:p>
      <w:pPr>
        <w:pStyle w:val="Heading1"/>
      </w:pPr>
      <w:r>
        <w:t xml:space="preserve">4. VLEO Physics Validation</w:t>
      </w:r>
    </w:p>
    <w:p>
      <w:pPr>
        <w:spacing w:after="120" w:line="264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The VLEO drag-aware layer (vleo.py, 50 tests) was validated both by unit tests and by two independent physics methods converging, and confirmed against the EAGLEEYE satellite (NORAD 60508, 356.8 km).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6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Method</w:t>
            </w:r>
          </w:p>
        </w:tc>
        <w:tc>
          <w:tcPr>
            <w:tcW w:type="dxa" w:w="456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Drag-aware propagation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RK4 Cowell + drag; energy-conservation check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Full-hold orbit held to net ~0 km over 30 d (sub-step &lt; orbital period)</w:t>
            </w:r>
          </w:p>
        </w:tc>
      </w:tr>
      <w:tr>
        <w:tc>
          <w:tcPr>
            <w:tcW w:type="dxa" w:w="22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Density model</w:t>
            </w:r>
          </w:p>
        </w:tc>
        <w:tc>
          <w:tcPr>
            <w:tcW w:type="dxa" w:w="26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NRLMSIS 2.1 (pymsis) vs USSA76 fallback</w:t>
            </w:r>
          </w:p>
        </w:tc>
        <w:tc>
          <w:tcPr>
            <w:tcW w:type="dxa" w:w="45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Active model reported per result; fallback model-tagged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ΔV cross-check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Phase-2 King-Hele forecast vs Phase-3 RK4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Same order of magnitude (independent methods converge)</w:t>
            </w:r>
          </w:p>
        </w:tc>
      </w:tr>
      <w:tr>
        <w:tc>
          <w:tcPr>
            <w:tcW w:type="dxa" w:w="22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Station-keeping</w:t>
            </w:r>
          </w:p>
        </w:tc>
        <w:tc>
          <w:tcPr>
            <w:tcW w:type="dxa" w:w="26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simulate_continuous_maneuver()</w:t>
            </w:r>
          </w:p>
        </w:tc>
        <w:tc>
          <w:tcPr>
            <w:tcW w:type="dxa" w:w="45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ΔV 11.35 m/s; 2.19 mN @ 500 kg; thrust direction = −drag (v_rel frame)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Self-cleaning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NASA Standard Breakup Model + drag lifetime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356 km 99% clear ~8 d vs 800 km ~26 yr (≈1150×); aligns with ESA Space Env. Report 2025</w:t>
            </w:r>
          </w:p>
        </w:tc>
      </w:tr>
      <w:tr>
        <w:tc>
          <w:tcPr>
            <w:tcW w:type="dxa" w:w="22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Catastrophic threshold</w:t>
            </w:r>
          </w:p>
        </w:tc>
        <w:tc>
          <w:tcPr>
            <w:tcW w:type="dxa" w:w="26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Specific energy vs 40 J/g</w:t>
            </w:r>
          </w:p>
        </w:tc>
        <w:tc>
          <w:tcPr>
            <w:tcW w:type="dxa" w:w="45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Correctly classifies catastrophic vs non-catastrophic events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Fuel trade-space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Clohessy-Wiltshire ΔV≈Δsep/(3t)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Earlier maneuvers cheaper (12× over lead-time range); ≤30% drag-makeup reuse (no free-maneuver overclaim)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97B2" w:sz="24"/>
              <w:bottom w:val="none"/>
              <w:right w:val="none"/>
            </w:tcBorders>
            <w:shd w:fill="EAF6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097B2"/>
                <w:spacing w:val="20"/>
                <w:sz w:val="16"/>
                <w:szCs w:val="16"/>
              </w:rPr>
              <w:t xml:space="preserve">VALIDATION DISCIPLINE</w:t>
            </w:r>
          </w:p>
          <w:p>
            <w:pPr>
              <w:spacing w:after="40" w:line="252"/>
            </w:pPr>
            <w:r>
              <w:rPr>
                <w:color w:val="1A2332"/>
                <w:sz w:val="18"/>
                <w:szCs w:val="18"/>
              </w:rPr>
              <w:t xml:space="preserve">VLEO outputs were cross-checked by two independent physics methods (analytic King-Hele forecast vs numerical RK4 propagation) converging to the same order of magnitude — a correctness check beyond unit assertions. Honesty corrections were applied where the math allowed an overclaim (e.g. the combined fuel budget caps prograde reuse at 30%, so a CA maneuver is never reported as “free”).</w:t>
            </w:r>
          </w:p>
        </w:tc>
      </w:tr>
    </w:tbl>
    <w:p>
      <w:pPr>
        <w:pStyle w:val="Heading1"/>
      </w:pPr>
      <w:r>
        <w:t xml:space="preserve">5. ML Layer 1 Validation</w:t>
      </w:r>
    </w:p>
    <w:p>
      <w:pPr>
        <w:spacing w:after="120" w:line="264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ML Layer 1 is a calibrated XGBoost triage layer that defers to the deterministic Pc funnel on sparse input. It was validated on a held-out set with explicit leakage controls.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Metric / Control</w:t>
            </w:r>
          </w:p>
        </w:tc>
        <w:tc>
          <w:tcPr>
            <w:tcW w:type="dxa" w:w="616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Discrimination (AUC)</w:t>
            </w:r>
          </w:p>
        </w:tc>
        <w:tc>
          <w:tcPr>
            <w:tcW w:type="dxa" w:w="6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0.953 on held-out validation set</w:t>
            </w:r>
          </w:p>
        </w:tc>
      </w:tr>
      <w:tr>
        <w:tc>
          <w:tcPr>
            <w:tcW w:type="dxa" w:w="32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Calibrated tiers</w:t>
            </w:r>
          </w:p>
        </w:tc>
        <w:tc>
          <w:tcPr>
            <w:tcW w:type="dxa" w:w="61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RED ≥ 0.137 / YELLOW ≥ 0.051 / GREEN &lt; 0.051 (calibration-derived)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Leakage control</w:t>
            </w:r>
          </w:p>
        </w:tc>
        <w:tc>
          <w:tcPr>
            <w:tcW w:type="dxa" w:w="6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7 leakage features removed; risk/mission_id confirmed absent from top SHAP contributors</w:t>
            </w:r>
          </w:p>
        </w:tc>
      </w:tr>
      <w:tr>
        <w:tc>
          <w:tcPr>
            <w:tcW w:type="dxa" w:w="32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Explainability</w:t>
            </w:r>
          </w:p>
        </w:tc>
        <w:tc>
          <w:tcPr>
            <w:tcW w:type="dxa" w:w="61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SHAP TreeExplainer (shap 0.52.0) bound at inference; per-event attributions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Fail-safe</w:t>
            </w:r>
          </w:p>
        </w:tc>
        <w:tc>
          <w:tcPr>
            <w:tcW w:type="dxa" w:w="6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Sparse CDM → UNAVAILABLE tier; system defers to deterministic Pc funnel</w:t>
            </w:r>
          </w:p>
        </w:tc>
      </w:tr>
      <w:tr>
        <w:tc>
          <w:tcPr>
            <w:tcW w:type="dxa" w:w="32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Governance</w:t>
            </w:r>
          </w:p>
        </w:tc>
        <w:tc>
          <w:tcPr>
            <w:tcW w:type="dxa" w:w="61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Output augments, never overrides, deterministic Pc + operator judgement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26A00" w:sz="24"/>
              <w:bottom w:val="none"/>
              <w:right w:val="none"/>
            </w:tcBorders>
            <w:shd w:fill="FBF3E6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B26A00"/>
                <w:spacing w:val="20"/>
                <w:sz w:val="16"/>
                <w:szCs w:val="16"/>
              </w:rPr>
              <w:t xml:space="preserve">ML LAYER 2 — NEGATIVE RESULT</w:t>
            </w:r>
          </w:p>
          <w:p>
            <w:pPr>
              <w:spacing w:after="40" w:line="252"/>
            </w:pPr>
            <w:r>
              <w:rPr>
                <w:color w:val="1A2332"/>
                <w:sz w:val="18"/>
                <w:szCs w:val="18"/>
              </w:rPr>
              <w:t xml:space="preserve">Trend-classification forecasting (LSTM over Pc history) was evaluated and rejected: the per-CDM process is effectively Markovian, a naive-persistence baseline already achieves ~0.93 recall and is not beaten on this data, and 77% of false positives are stable-trend-indistinguishable. The correct Layer 2 direction is uncertainty/confidence quantification, not trend prediction. Documenting this negative result prevented a misdirected build.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Analytical Cross-Check</w:t>
      </w:r>
    </w:p>
    <w:p>
      <w:pPr>
        <w:spacing w:after="120" w:line="264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For miss = 0, the Foster integral has a closed-form solution Pc = 1 − exp(−s²/2), s = HBR/σ.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Quantity</w:t>
            </w:r>
          </w:p>
        </w:tc>
        <w:tc>
          <w:tcPr>
            <w:tcW w:type="dxa" w:w="46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 = HBR/σ (σ=30, HBR=10)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0.333…</w:t>
            </w:r>
          </w:p>
        </w:tc>
      </w:tr>
      <w:tr>
        <w:tc>
          <w:tcPr>
            <w:tcW w:type="dxa" w:w="46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Analytical Pc</w:t>
            </w:r>
          </w:p>
        </w:tc>
        <w:tc>
          <w:tcPr>
            <w:tcW w:type="dxa" w:w="46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1 − exp(−0.0556) ≈ 0.05406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Numerical Pc (N=200)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Matches within 10⁻³</w:t>
            </w:r>
          </w:p>
        </w:tc>
      </w:tr>
      <w:tr>
        <w:tc>
          <w:tcPr>
            <w:tcW w:type="dxa" w:w="46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tolerance</w:t>
            </w:r>
          </w:p>
        </w:tc>
        <w:tc>
          <w:tcPr>
            <w:tcW w:type="dxa" w:w="46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10⁻³</w:t>
            </w:r>
          </w:p>
        </w:tc>
      </w:tr>
    </w:tbl>
    <w:p>
      <w:pPr>
        <w:spacing w:after="120" w:line="264"/>
      </w:pPr>
      <w:r>
        <w:rPr>
          <w:rFonts w:ascii="Arial" w:cs="Arial" w:eastAsia="Arial" w:hAnsi="Arial"/>
          <w:color w:val="5A7A94"/>
          <w:sz w:val="18"/>
          <w:szCs w:val="18"/>
        </w:rPr>
        <w:t xml:space="preserve">This is the strongest single validation datum: an independent analytical solution predicts a specific value, and the numerical implementation reproduces it — shifting the implementation from ‘trust’ to ‘verified against reference’.</w:t>
      </w:r>
    </w:p>
    <w:p>
      <w:pPr>
        <w:pStyle w:val="Heading1"/>
      </w:pPr>
      <w:r>
        <w:t xml:space="preserve">7. Known Limitations</w:t>
      </w:r>
    </w:p>
    <w:p>
      <w:pPr>
        <w:pStyle w:val="Heading2"/>
      </w:pPr>
      <w:r>
        <w:t xml:space="preserve">7.1 Covariance Data — the σ Limitation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26A00" w:sz="24"/>
              <w:bottom w:val="none"/>
              <w:right w:val="none"/>
            </w:tcBorders>
            <w:shd w:fill="FBF3E6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B26A00"/>
                <w:spacing w:val="20"/>
                <w:sz w:val="16"/>
                <w:szCs w:val="16"/>
              </w:rPr>
              <w:t xml:space="preserve">CRITICAL</w:t>
            </w:r>
          </w:p>
          <w:p>
            <w:pPr>
              <w:spacing w:after="40" w:line="252"/>
            </w:pPr>
            <w:r>
              <w:rPr>
                <w:color w:val="1A2332"/>
                <w:sz w:val="18"/>
                <w:szCs w:val="18"/>
              </w:rPr>
              <w:t xml:space="preserve">CAS uses a fixed σ for Pc where covariance is unavailable. Space-Track's public CDM class omits covariance (CR_R, CT_T, CN_N absent). CAS Pc values should be interpreted as relative risk rankings, not absolute collision probabilities. Consistency ≠ accuracy.</w:t>
            </w:r>
          </w:p>
        </w:tc>
      </w:tr>
    </w:tbl>
    <w:p>
      <w:pPr>
        <w:pStyle w:val="Heading2"/>
      </w:pPr>
      <w:r>
        <w:t xml:space="preserve">7.2 Other Limitations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1A2332"/>
          <w:sz w:val="20"/>
          <w:szCs w:val="20"/>
        </w:rPr>
        <w:t xml:space="preserve">I/O code paths: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HTTP routing, DB CRUD, email, and auth are validated operationally (90+ days) and by the integration tier rather than by unit tests alone.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1A2332"/>
          <w:sz w:val="20"/>
          <w:szCs w:val="20"/>
        </w:rPr>
        <w:t xml:space="preserve">Third-party sources: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external feeds are treated as trusted; operational evidence covers 30,884+ tracked objects.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1A2332"/>
          <w:sz w:val="20"/>
          <w:szCs w:val="20"/>
        </w:rPr>
        <w:t xml:space="preserve">ML scope: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Layer 1 covers false-positive triage and fails safe to the Pc funnel; uncertainty quantification (Layer 2) is future work.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1A2332"/>
          <w:sz w:val="20"/>
          <w:szCs w:val="20"/>
        </w:rPr>
        <w:t xml:space="preserve">VLEO geometry: </w:t>
      </w:r>
      <w:r>
        <w:rPr>
          <w:rFonts w:ascii="Arial" w:cs="Arial" w:eastAsia="Arial" w:hAnsi="Arial"/>
          <w:color w:val="1A2332"/>
          <w:sz w:val="20"/>
          <w:szCs w:val="20"/>
        </w:rPr>
        <w:t xml:space="preserve">VLEO tools use representative geometry; a specific conjunction uses its real miss vector, TCA, and relative velocity.</w:t>
      </w:r>
    </w:p>
    <w:p>
      <w:pPr>
        <w:pStyle w:val="Heading1"/>
      </w:pPr>
      <w:r>
        <w:t xml:space="preserve">8. TRL 5 Justification</w:t>
      </w:r>
    </w:p>
    <w:p>
      <w:pPr>
        <w:spacing w:after="120" w:line="264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CAS claims TRL 5 (component validation in a relevant environment) per the ISO 16290 / NASA-ESA scale.</w:t>
      </w:r>
    </w:p>
    <w:p>
      <w:pPr>
        <w:pStyle w:val="Heading2"/>
      </w:pPr>
      <w:r>
        <w:t xml:space="preserve">8.1 Component Validation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color w:val="1A2332"/>
          <w:sz w:val="20"/>
          <w:szCs w:val="20"/>
        </w:rPr>
        <w:t xml:space="preserve">134 unit tests across the computational core (incl. 50 VLEO physics tests), 100% pass rate.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color w:val="1A2332"/>
          <w:sz w:val="20"/>
          <w:szCs w:val="20"/>
        </w:rPr>
        <w:t xml:space="preserve">Foster-Chan verified against analytical closed-form within 10⁻³; Bessel I₀ cross-checked against tabulated values.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color w:val="1A2332"/>
          <w:sz w:val="20"/>
          <w:szCs w:val="20"/>
        </w:rPr>
        <w:t xml:space="preserve">ML Layer 1 validated on a held-out set (AUC 0.953) with leakage controls.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color w:val="1A2332"/>
          <w:sz w:val="20"/>
          <w:szCs w:val="20"/>
        </w:rPr>
        <w:t xml:space="preserve">Reproducible execution via ./run_tests.sh (unit + integration + smoke).</w:t>
      </w:r>
    </w:p>
    <w:p>
      <w:pPr>
        <w:pStyle w:val="Heading2"/>
      </w:pPr>
      <w:r>
        <w:t xml:space="preserve">8.2 Relevant-Environment Operation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color w:val="1A2332"/>
          <w:sz w:val="20"/>
          <w:szCs w:val="20"/>
        </w:rPr>
        <w:t xml:space="preserve">90+ days continuous deployment on EU production infrastructure.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color w:val="1A2332"/>
          <w:sz w:val="20"/>
          <w:szCs w:val="20"/>
        </w:rPr>
        <w:t xml:space="preserve">Live ingestion from Space-Track, Celestrak, EU SST, and NOAA SWPC.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color w:val="1A2332"/>
          <w:sz w:val="20"/>
          <w:szCs w:val="20"/>
        </w:rPr>
        <w:t xml:space="preserve">30,884+ active orbital objects continuously screened; hourly background scanner.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color w:val="1A2332"/>
          <w:sz w:val="20"/>
          <w:szCs w:val="20"/>
        </w:rPr>
        <w:t xml:space="preserve">135 integration tests covering component-to-component interactions.</w:t>
      </w:r>
    </w:p>
    <w:p>
      <w:pPr>
        <w:pStyle w:val="Heading2"/>
      </w:pPr>
      <w:r>
        <w:t xml:space="preserve">8.3 Pending for TRL 6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color w:val="1A2332"/>
          <w:sz w:val="20"/>
          <w:szCs w:val="20"/>
        </w:rPr>
        <w:t xml:space="preserve">Operator pilot deployments with operator-specific CDM access.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color w:val="1A2332"/>
          <w:sz w:val="20"/>
          <w:szCs w:val="20"/>
        </w:rPr>
        <w:t xml:space="preserve">Real covariance integration replacing the σ placeholder.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color w:val="1A2332"/>
          <w:sz w:val="20"/>
          <w:szCs w:val="20"/>
        </w:rPr>
        <w:t xml:space="preserve">ML Layer 2 — uncertainty/confidence quantification.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color w:val="1A2332"/>
          <w:sz w:val="20"/>
          <w:szCs w:val="20"/>
        </w:rPr>
        <w:t xml:space="preserve">Independent third-party performance validation.</w:t>
      </w:r>
    </w:p>
    <w:p>
      <w:pPr>
        <w:spacing w:after="160"/>
      </w:pPr>
      <w:r>
        <w:t xml:space="preserve"/>
      </w:r>
    </w:p>
    <w:p>
      <w:pPr>
        <w:pBdr>
          <w:bottom w:val="single" w:color="0097B2" w:sz="8" w:space="1"/>
        </w:pBdr>
        <w:spacing w:after="60" w:before="60"/>
      </w:pPr>
      <w:r>
        <w:t xml:space="preserve"/>
      </w:r>
    </w:p>
    <w:p>
      <w:pPr>
        <w:spacing w:after="120" w:line="264"/>
        <w:jc w:val="center"/>
      </w:pPr>
      <w:r>
        <w:rPr>
          <w:rFonts w:ascii="Arial" w:cs="Arial" w:eastAsia="Arial" w:hAnsi="Arial"/>
          <w:b/>
          <w:bCs/>
          <w:color w:val="0B1F3A"/>
          <w:sz w:val="20"/>
          <w:szCs w:val="20"/>
        </w:rPr>
        <w:t xml:space="preserve">— End of Validation Report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0" w:sz="4" w:space="4"/>
      </w:pBdr>
      <w:tabs>
        <w:tab w:val="center" w:pos="4680"/>
        <w:tab w:val="right" w:pos="9360"/>
      </w:tabs>
      <w:spacing w:before="0"/>
    </w:pPr>
    <w:r>
      <w:rPr>
        <w:rFonts w:ascii="Consolas" w:cs="Consolas" w:eastAsia="Consolas" w:hAnsi="Consolas"/>
        <w:color w:val="5A7A94"/>
        <w:sz w:val="16"/>
        <w:szCs w:val="16"/>
      </w:rPr>
      <w:t xml:space="preserve">CAS-VAL-002 · v2.0</w:t>
    </w:r>
    <w:r>
      <w:rPr>
        <w:rFonts w:ascii="Consolas" w:cs="Consolas" w:eastAsia="Consolas" w:hAnsi="Consolas"/>
        <w:color w:val="5A7A94"/>
        <w:sz w:val="16"/>
        <w:szCs w:val="16"/>
      </w:rPr>
      <w:t xml:space="preserve">	CONFIDENTIAL — PUBLIC</w:t>
    </w:r>
    <w:r>
      <w:rPr>
        <w:rFonts w:ascii="Consolas" w:cs="Consolas" w:eastAsia="Consolas" w:hAnsi="Consolas"/>
        <w:color w:val="5A7A94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0" w:sz="4" w:space="4"/>
      </w:pBdr>
      <w:tabs>
        <w:tab w:val="right" w:pos="9360"/>
      </w:tabs>
      <w:spacing w:after="0"/>
    </w:pPr>
    <w:r>
      <w:rPr>
        <w:rFonts w:ascii="Consolas" w:cs="Consolas" w:eastAsia="Consolas" w:hAnsi="Consolas"/>
        <w:b/>
        <w:bCs/>
        <w:color w:val="0097B2"/>
        <w:spacing w:val="20"/>
        <w:sz w:val="16"/>
        <w:szCs w:val="16"/>
      </w:rPr>
      <w:t xml:space="preserve">CAS PLATFORM</w:t>
    </w:r>
    <w:r>
      <w:rPr>
        <w:rFonts w:ascii="Consolas" w:cs="Consolas" w:eastAsia="Consolas" w:hAnsi="Consolas"/>
        <w:color w:val="5A7A94"/>
        <w:sz w:val="16"/>
        <w:szCs w:val="16"/>
      </w:rPr>
      <w:t xml:space="preserve">	Validation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33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97B2" w:sz="8" w:space="6"/>
      </w:pBdr>
      <w:spacing w:after="140" w:before="360"/>
      <w:outlineLvl w:val="0"/>
    </w:pPr>
    <w:rPr>
      <w:rFonts w:ascii="Arial" w:cs="Arial" w:eastAsia="Arial" w:hAnsi="Arial"/>
      <w:b/>
      <w:bCs/>
      <w:color w:val="0B1F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3294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097B2"/>
      <w:sz w:val="21"/>
      <w:szCs w:val="21"/>
    </w:rPr>
  </w:style>
  <w:style w:type="paragraph" w:styleId="Normal">
    <w:name w:val="Normal"/>
    <w:pPr>
      <w:spacing w:after="120" w:line="264"/>
    </w:pPr>
    <w:rPr>
      <w:rFonts w:ascii="Arial" w:cs="Arial" w:eastAsia="Arial" w:hAnsi="Arial"/>
      <w:color w:val="1A2332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 Platform — Validation Report v2.0</dc:title>
  <dc:creator>CAS Platform</dc:creator>
  <cp:lastModifiedBy>Un-named</cp:lastModifiedBy>
  <cp:revision>1</cp:revision>
  <dcterms:created xsi:type="dcterms:W3CDTF">2026-06-22T18:56:10.955Z</dcterms:created>
  <dcterms:modified xsi:type="dcterms:W3CDTF">2026-06-22T18:56:10.955Z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