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Highlights</w:t>
      </w:r>
    </w:p>
    <w:p>
      <w:pPr>
        <w:jc w:val="center"/>
      </w:pPr>
      <w:r>
        <w:rPr>
          <w:b/>
        </w:rPr>
        <w:t>Granular ball local consensus for graph-free node classification under label noise</w:t>
      </w:r>
    </w:p>
    <w:p>
      <w:pPr>
        <w:pStyle w:val="ListBullet"/>
      </w:pPr>
      <w:r>
        <w:t>Construct granular balls from graph contrastive representations without labels.</w:t>
      </w:r>
    </w:p>
    <w:p>
      <w:pPr>
        <w:pStyle w:val="ListBullet"/>
      </w:pPr>
      <w:r>
        <w:t>Transfer training graph structure into soft targets for attribute-only prediction.</w:t>
      </w:r>
    </w:p>
    <w:p>
      <w:pPr>
        <w:pStyle w:val="ListBullet"/>
      </w:pPr>
      <w:r>
        <w:t>Refine noisy supervision using leave-one-out consensus within granular balls.</w:t>
      </w:r>
    </w:p>
    <w:p>
      <w:pPr>
        <w:pStyle w:val="ListBullet"/>
      </w:pPr>
      <w:r>
        <w:t>Achieve the highest mean accuracy in 24 of 25 controlled settings.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