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media/rId27.png" ContentType="image/png"/>
  <Override PartName="/word/media/rId31.png" ContentType="image/png"/>
  <Override PartName="/word/media/rId35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Predictive Maintenance Reporting System</w:t>
      </w:r>
    </w:p>
    <w:p>
      <w:pPr>
        <w:pStyle w:val="Subtitle"/>
      </w:pPr>
      <w:r>
        <w:t xml:space="preserve">Engineering Validation Report</w:t>
      </w:r>
    </w:p>
    <w:p>
      <w:pPr>
        <w:pStyle w:val="Author"/>
      </w:pPr>
      <w:r>
        <w:t xml:space="preserve">Cassandra Davis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executive-summary"/>
    <w:p>
      <w:pPr>
        <w:pStyle w:val="Heading1"/>
      </w:pPr>
      <w:r>
        <w:t xml:space="preserve">1. Executive Summary</w:t>
      </w:r>
    </w:p>
    <w:bookmarkStart w:id="16" w:name="objective"/>
    <w:p>
      <w:pPr>
        <w:pStyle w:val="Heading2"/>
      </w:pPr>
      <w:r>
        <w:t xml:space="preserve">1.1 Objective</w:t>
      </w:r>
    </w:p>
    <w:p>
      <w:pPr>
        <w:pStyle w:val="FirstParagraph"/>
      </w:pPr>
      <w:r>
        <w:t xml:space="preserve">Develop an automated engineering reporting workflow capable of identifying early fault indicators within vehicle sensor data and presenting the results in a standardised engineering report.</w:t>
      </w:r>
    </w:p>
    <w:bookmarkEnd w:id="16"/>
    <w:bookmarkStart w:id="17" w:name="scope"/>
    <w:p>
      <w:pPr>
        <w:pStyle w:val="Heading2"/>
      </w:pPr>
      <w:r>
        <w:t xml:space="preserve">1.2 Scope</w:t>
      </w:r>
    </w:p>
    <w:p>
      <w:pPr>
        <w:pStyle w:val="FirstParagraph"/>
      </w:pPr>
      <w:r>
        <w:t xml:space="preserve">The reporting system analyses validation data collected during endurance testing and generates:</w:t>
      </w:r>
    </w:p>
    <w:p>
      <w:pPr>
        <w:pStyle w:val="Compact"/>
        <w:numPr>
          <w:ilvl w:val="0"/>
          <w:numId w:val="1001"/>
        </w:numPr>
      </w:pPr>
      <w:r>
        <w:t xml:space="preserve">KPI summaries</w:t>
      </w:r>
    </w:p>
    <w:p>
      <w:pPr>
        <w:pStyle w:val="Compact"/>
        <w:numPr>
          <w:ilvl w:val="0"/>
          <w:numId w:val="1001"/>
        </w:numPr>
      </w:pPr>
      <w:r>
        <w:t xml:space="preserve">engineering charts</w:t>
      </w:r>
    </w:p>
    <w:p>
      <w:pPr>
        <w:pStyle w:val="Compact"/>
        <w:numPr>
          <w:ilvl w:val="0"/>
          <w:numId w:val="1001"/>
        </w:numPr>
      </w:pPr>
      <w:r>
        <w:t xml:space="preserve">anomaly detection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pPr>
        <w:pStyle w:val="Compact"/>
        <w:numPr>
          <w:ilvl w:val="0"/>
          <w:numId w:val="1001"/>
        </w:numPr>
      </w:pPr>
      <w:r>
        <w:t xml:space="preserve">standardised documentation</w:t>
      </w:r>
    </w:p>
    <w:bookmarkEnd w:id="17"/>
    <w:bookmarkStart w:id="18" w:name="overall-result"/>
    <w:p>
      <w:pPr>
        <w:pStyle w:val="Heading2"/>
      </w:pPr>
      <w:r>
        <w:t xml:space="preserve">1.3 Overall Result</w:t>
      </w:r>
    </w:p>
    <w:p>
      <w:pPr>
        <w:pStyle w:val="FirstParagraph"/>
      </w:pPr>
      <w:r>
        <w:rPr>
          <w:b/>
          <w:bCs/>
        </w:rPr>
        <w:t xml:space="preserve">PASS</w:t>
      </w:r>
    </w:p>
    <w:p>
      <w:pPr>
        <w:pStyle w:val="BodyText"/>
      </w:pPr>
      <w:r>
        <w:t xml:space="preserve">The reporting workflow successfully identified abnormal sensor trends while reducing manual reporting effort.</w:t>
      </w:r>
    </w:p>
    <w:bookmarkEnd w:id="18"/>
    <w:bookmarkEnd w:id="19"/>
    <w:bookmarkStart w:id="20" w:name="project-information"/>
    <w:p>
      <w:pPr>
        <w:pStyle w:val="Heading1"/>
      </w:pPr>
      <w:r>
        <w:t xml:space="preserve">2. Project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Predictive Maintenance Reporting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Fictional Automotive OEM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PMR-001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Cassandra Davis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2026-06-30</w:t>
            </w:r>
          </w:p>
        </w:tc>
      </w:tr>
    </w:tbl>
    <w:bookmarkEnd w:id="20"/>
    <w:bookmarkStart w:id="21" w:name="engineering-background"/>
    <w:p>
      <w:pPr>
        <w:pStyle w:val="Heading1"/>
      </w:pPr>
      <w:r>
        <w:t xml:space="preserve">3. Engineering Background</w:t>
      </w:r>
    </w:p>
    <w:p>
      <w:pPr>
        <w:pStyle w:val="FirstParagraph"/>
      </w:pPr>
      <w:r>
        <w:t xml:space="preserve">Modern vehicle testing generates thousands of sensor measurements every minute.</w:t>
      </w:r>
    </w:p>
    <w:p>
      <w:pPr>
        <w:pStyle w:val="BodyText"/>
      </w:pPr>
      <w:r>
        <w:t xml:space="preserve">Manual review is:</w:t>
      </w:r>
    </w:p>
    <w:p>
      <w:pPr>
        <w:pStyle w:val="Compact"/>
        <w:numPr>
          <w:ilvl w:val="0"/>
          <w:numId w:val="1002"/>
        </w:numPr>
      </w:pPr>
      <w:r>
        <w:t xml:space="preserve">time consuming</w:t>
      </w:r>
    </w:p>
    <w:p>
      <w:pPr>
        <w:pStyle w:val="Compact"/>
        <w:numPr>
          <w:ilvl w:val="0"/>
          <w:numId w:val="1002"/>
        </w:numPr>
      </w:pPr>
      <w:r>
        <w:t xml:space="preserve">inconsistent</w:t>
      </w:r>
    </w:p>
    <w:p>
      <w:pPr>
        <w:pStyle w:val="Compact"/>
        <w:numPr>
          <w:ilvl w:val="0"/>
          <w:numId w:val="1002"/>
        </w:numPr>
      </w:pPr>
      <w:r>
        <w:t xml:space="preserve">difficult to reproduce</w:t>
      </w:r>
    </w:p>
    <w:p>
      <w:pPr>
        <w:pStyle w:val="FirstParagraph"/>
      </w:pPr>
      <w:r>
        <w:t xml:space="preserve">This reporting system demonstrates how Python automation can transform raw engineering data into clear decision-making information.</w:t>
      </w:r>
    </w:p>
    <w:bookmarkEnd w:id="21"/>
    <w:bookmarkStart w:id="22" w:name="test-configuration"/>
    <w:p>
      <w:pPr>
        <w:pStyle w:val="Heading1"/>
      </w:pPr>
      <w:r>
        <w:t xml:space="preserve">4. Test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Platform</w:t>
            </w:r>
          </w:p>
        </w:tc>
        <w:tc>
          <w:tcPr/>
          <w:p>
            <w:pPr>
              <w:pStyle w:val="Compact"/>
            </w:pPr>
            <w:r>
              <w:t xml:space="preserve">Prototype 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 Version</w:t>
            </w:r>
          </w:p>
        </w:tc>
        <w:tc>
          <w:tcPr/>
          <w:p>
            <w:pPr>
              <w:pStyle w:val="Compact"/>
            </w:pPr>
            <w:r>
              <w:t xml:space="preserve">3.2.4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Sampling Rate</w:t>
            </w:r>
          </w:p>
        </w:tc>
        <w:tc>
          <w:tcPr/>
          <w:p>
            <w:pPr>
              <w:pStyle w:val="Compact"/>
            </w:pPr>
            <w:r>
              <w:t xml:space="preserve">100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Duration</w:t>
            </w:r>
          </w:p>
        </w:tc>
        <w:tc>
          <w:tcPr/>
          <w:p>
            <w:pPr>
              <w:pStyle w:val="Compact"/>
            </w:pPr>
            <w:r>
              <w:t xml:space="preserve">6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Samples</w:t>
            </w:r>
          </w:p>
        </w:tc>
        <w:tc>
          <w:tcPr/>
          <w:p>
            <w:pPr>
              <w:pStyle w:val="Compact"/>
            </w:pPr>
            <w:r>
              <w:t xml:space="preserve">14,562</w:t>
            </w:r>
          </w:p>
        </w:tc>
      </w:tr>
    </w:tbl>
    <w:bookmarkEnd w:id="22"/>
    <w:bookmarkStart w:id="23" w:name="acceptance-criteria"/>
    <w:p>
      <w:pPr>
        <w:pStyle w:val="Heading1"/>
      </w:pPr>
      <w:r>
        <w:t xml:space="preserve">5. Acceptance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Drift</w:t>
            </w:r>
          </w:p>
        </w:tc>
        <w:tc>
          <w:tcPr/>
          <w:p>
            <w:pPr>
              <w:pStyle w:val="Compact"/>
            </w:pPr>
            <w:r>
              <w:t xml:space="preserve">&lt;2%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 Stability</w:t>
            </w:r>
          </w:p>
        </w:tc>
        <w:tc>
          <w:tcPr/>
          <w:p>
            <w:pPr>
              <w:pStyle w:val="Compact"/>
            </w:pPr>
            <w:r>
              <w:t xml:space="preserve">±0.05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Time</w:t>
            </w:r>
          </w:p>
        </w:tc>
        <w:tc>
          <w:tcPr/>
          <w:p>
            <w:pPr>
              <w:pStyle w:val="Compact"/>
            </w:pPr>
            <w:r>
              <w:t xml:space="preserve">&lt;30 seconds</w:t>
            </w:r>
          </w:p>
        </w:tc>
      </w:tr>
    </w:tbl>
    <w:bookmarkEnd w:id="23"/>
    <w:bookmarkStart w:id="24" w:name="dataset-overview"/>
    <w:p>
      <w:pPr>
        <w:pStyle w:val="Heading1"/>
      </w:pPr>
      <w:r>
        <w:t xml:space="preserve">6. Dataset Overview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sensor_noise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101.2</w:t>
            </w:r>
          </w:p>
        </w:tc>
        <w:tc>
          <w:tcPr/>
          <w:p>
            <w:pPr>
              <w:pStyle w:val="Compact"/>
            </w:pPr>
            <w:r>
              <w:t xml:space="preserve">5.01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820</w:t>
            </w:r>
          </w:p>
        </w:tc>
        <w:tc>
          <w:tcPr/>
          <w:p>
            <w:pPr>
              <w:pStyle w:val="Compact"/>
            </w:pPr>
            <w:r>
              <w:t xml:space="preserve">19.8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101.4</w:t>
            </w:r>
          </w:p>
        </w:tc>
        <w:tc>
          <w:tcPr/>
          <w:p>
            <w:pPr>
              <w:pStyle w:val="Compact"/>
            </w:pPr>
            <w:r>
              <w:t xml:space="preserve">5.01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950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24.8</w:t>
            </w:r>
          </w:p>
        </w:tc>
        <w:tc>
          <w:tcPr/>
          <w:p>
            <w:pPr>
              <w:pStyle w:val="Compact"/>
            </w:pPr>
            <w:r>
              <w:t xml:space="preserve">101.8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1100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102.0</w:t>
            </w:r>
          </w:p>
        </w:tc>
        <w:tc>
          <w:tcPr/>
          <w:p>
            <w:pPr>
              <w:pStyle w:val="Compact"/>
            </w:pPr>
            <w:r>
              <w:t xml:space="preserve">5.00</w:t>
            </w:r>
          </w:p>
        </w:tc>
        <w:tc>
          <w:tcPr/>
          <w:p>
            <w:pPr>
              <w:pStyle w:val="Compact"/>
            </w:pPr>
            <w:r>
              <w:t xml:space="preserve">0.60</w:t>
            </w:r>
          </w:p>
        </w:tc>
        <w:tc>
          <w:tcPr/>
          <w:p>
            <w:pPr>
              <w:pStyle w:val="Compact"/>
            </w:pPr>
            <w:r>
              <w:t xml:space="preserve">1300</w:t>
            </w:r>
          </w:p>
        </w:tc>
        <w:tc>
          <w:tcPr/>
          <w:p>
            <w:pPr>
              <w:pStyle w:val="Compact"/>
            </w:pPr>
            <w:r>
              <w:t xml:space="preserve">20.8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102.3</w:t>
            </w:r>
          </w:p>
        </w:tc>
        <w:tc>
          <w:tcPr/>
          <w:p>
            <w:pPr>
              <w:pStyle w:val="Compact"/>
            </w:pPr>
            <w:r>
              <w:t xml:space="preserve">4.99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0.014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</w:tbl>
    <w:bookmarkEnd w:id="24"/>
    <w:bookmarkStart w:id="25" w:name="dataset-summary"/>
    <w:p>
      <w:pPr>
        <w:pStyle w:val="Heading1"/>
      </w:pPr>
      <w:r>
        <w:t xml:space="preserve">7. Dataset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sensor_noise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435.000000</w:t>
            </w:r>
          </w:p>
        </w:tc>
        <w:tc>
          <w:tcPr/>
          <w:p>
            <w:pPr>
              <w:pStyle w:val="Compact"/>
            </w:pPr>
            <w:r>
              <w:t xml:space="preserve">64.256667</w:t>
            </w:r>
          </w:p>
        </w:tc>
        <w:tc>
          <w:tcPr/>
          <w:p>
            <w:pPr>
              <w:pStyle w:val="Compact"/>
            </w:pPr>
            <w:r>
              <w:t xml:space="preserve">105.300000</w:t>
            </w:r>
          </w:p>
        </w:tc>
        <w:tc>
          <w:tcPr/>
          <w:p>
            <w:pPr>
              <w:pStyle w:val="Compact"/>
            </w:pPr>
            <w:r>
              <w:t xml:space="preserve">4.945667</w:t>
            </w:r>
          </w:p>
        </w:tc>
        <w:tc>
          <w:tcPr/>
          <w:p>
            <w:pPr>
              <w:pStyle w:val="Compact"/>
            </w:pPr>
            <w:r>
              <w:t xml:space="preserve">1.150667</w:t>
            </w:r>
          </w:p>
        </w:tc>
        <w:tc>
          <w:tcPr/>
          <w:p>
            <w:pPr>
              <w:pStyle w:val="Compact"/>
            </w:pPr>
            <w:r>
              <w:t xml:space="preserve">3392.333333</w:t>
            </w:r>
          </w:p>
        </w:tc>
        <w:tc>
          <w:tcPr/>
          <w:p>
            <w:pPr>
              <w:pStyle w:val="Compact"/>
            </w:pPr>
            <w:r>
              <w:t xml:space="preserve">25.736667</w:t>
            </w:r>
          </w:p>
        </w:tc>
        <w:tc>
          <w:tcPr/>
          <w:p>
            <w:pPr>
              <w:pStyle w:val="Compact"/>
            </w:pPr>
            <w:r>
              <w:t xml:space="preserve">0.024967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264.102253</w:t>
            </w:r>
          </w:p>
        </w:tc>
        <w:tc>
          <w:tcPr/>
          <w:p>
            <w:pPr>
              <w:pStyle w:val="Compact"/>
            </w:pPr>
            <w:r>
              <w:t xml:space="preserve">26.196021</w:t>
            </w:r>
          </w:p>
        </w:tc>
        <w:tc>
          <w:tcPr/>
          <w:p>
            <w:pPr>
              <w:pStyle w:val="Compact"/>
            </w:pPr>
            <w:r>
              <w:t xml:space="preserve">2.255109</w:t>
            </w:r>
          </w:p>
        </w:tc>
        <w:tc>
          <w:tcPr/>
          <w:p>
            <w:pPr>
              <w:pStyle w:val="Compact"/>
            </w:pPr>
            <w:r>
              <w:t xml:space="preserve">0.037663</w:t>
            </w:r>
          </w:p>
        </w:tc>
        <w:tc>
          <w:tcPr/>
          <w:p>
            <w:pPr>
              <w:pStyle w:val="Compact"/>
            </w:pPr>
            <w:r>
              <w:t xml:space="preserve">0.390172</w:t>
            </w:r>
          </w:p>
        </w:tc>
        <w:tc>
          <w:tcPr/>
          <w:p>
            <w:pPr>
              <w:pStyle w:val="Compact"/>
            </w:pPr>
            <w:r>
              <w:t xml:space="preserve">1473.175513</w:t>
            </w:r>
          </w:p>
        </w:tc>
        <w:tc>
          <w:tcPr/>
          <w:p>
            <w:pPr>
              <w:pStyle w:val="Compact"/>
            </w:pPr>
            <w:r>
              <w:t xml:space="preserve">3.527868</w:t>
            </w:r>
          </w:p>
        </w:tc>
        <w:tc>
          <w:tcPr/>
          <w:p>
            <w:pPr>
              <w:pStyle w:val="Compact"/>
            </w:pPr>
            <w:r>
              <w:t xml:space="preserve">0.010588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0.000000</w:t>
            </w:r>
          </w:p>
        </w:tc>
        <w:tc>
          <w:tcPr/>
          <w:p>
            <w:pPr>
              <w:pStyle w:val="Compact"/>
            </w:pPr>
            <w:r>
              <w:t xml:space="preserve">20.100000</w:t>
            </w:r>
          </w:p>
        </w:tc>
        <w:tc>
          <w:tcPr/>
          <w:p>
            <w:pPr>
              <w:pStyle w:val="Compact"/>
            </w:pPr>
            <w:r>
              <w:t xml:space="preserve">101.200000</w:t>
            </w:r>
          </w:p>
        </w:tc>
        <w:tc>
          <w:tcPr/>
          <w:p>
            <w:pPr>
              <w:pStyle w:val="Compact"/>
            </w:pPr>
            <w:r>
              <w:t xml:space="preserve">4.900000</w:t>
            </w:r>
          </w:p>
        </w:tc>
        <w:tc>
          <w:tcPr/>
          <w:p>
            <w:pPr>
              <w:pStyle w:val="Compact"/>
            </w:pPr>
            <w:r>
              <w:t xml:space="preserve">0.480000</w:t>
            </w:r>
          </w:p>
        </w:tc>
        <w:tc>
          <w:tcPr/>
          <w:p>
            <w:pPr>
              <w:pStyle w:val="Compact"/>
            </w:pPr>
            <w:r>
              <w:t xml:space="preserve">820.000000</w:t>
            </w:r>
          </w:p>
        </w:tc>
        <w:tc>
          <w:tcPr/>
          <w:p>
            <w:pPr>
              <w:pStyle w:val="Compact"/>
            </w:pPr>
            <w:r>
              <w:t xml:space="preserve">19.800000</w:t>
            </w:r>
          </w:p>
        </w:tc>
        <w:tc>
          <w:tcPr/>
          <w:p>
            <w:pPr>
              <w:pStyle w:val="Compact"/>
            </w:pPr>
            <w:r>
              <w:t xml:space="preserve">0.011000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217.500000</w:t>
            </w:r>
          </w:p>
        </w:tc>
        <w:tc>
          <w:tcPr/>
          <w:p>
            <w:pPr>
              <w:pStyle w:val="Compact"/>
            </w:pPr>
            <w:r>
              <w:t xml:space="preserve">41.425000</w:t>
            </w:r>
          </w:p>
        </w:tc>
        <w:tc>
          <w:tcPr/>
          <w:p>
            <w:pPr>
              <w:pStyle w:val="Compact"/>
            </w:pPr>
            <w:r>
              <w:t xml:space="preserve">103.500000</w:t>
            </w:r>
          </w:p>
        </w:tc>
        <w:tc>
          <w:tcPr/>
          <w:p>
            <w:pPr>
              <w:pStyle w:val="Compact"/>
            </w:pPr>
            <w:r>
              <w:t xml:space="preserve">4.910000</w:t>
            </w:r>
          </w:p>
        </w:tc>
        <w:tc>
          <w:tcPr/>
          <w:p>
            <w:pPr>
              <w:pStyle w:val="Compact"/>
            </w:pPr>
            <w:r>
              <w:t xml:space="preserve">0.815000</w:t>
            </w:r>
          </w:p>
        </w:tc>
        <w:tc>
          <w:tcPr/>
          <w:p>
            <w:pPr>
              <w:pStyle w:val="Compact"/>
            </w:pPr>
            <w:r>
              <w:t xml:space="preserve">2150.000000</w:t>
            </w:r>
          </w:p>
        </w:tc>
        <w:tc>
          <w:tcPr/>
          <w:p>
            <w:pPr>
              <w:pStyle w:val="Compact"/>
            </w:pPr>
            <w:r>
              <w:t xml:space="preserve">22.775000</w:t>
            </w:r>
          </w:p>
        </w:tc>
        <w:tc>
          <w:tcPr/>
          <w:p>
            <w:pPr>
              <w:pStyle w:val="Compact"/>
            </w:pPr>
            <w:r>
              <w:t xml:space="preserve">0.016250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435.000000</w:t>
            </w:r>
          </w:p>
        </w:tc>
        <w:tc>
          <w:tcPr/>
          <w:p>
            <w:pPr>
              <w:pStyle w:val="Compact"/>
            </w:pPr>
            <w:r>
              <w:t xml:space="preserve">67.600000</w:t>
            </w:r>
          </w:p>
        </w:tc>
        <w:tc>
          <w:tcPr/>
          <w:p>
            <w:pPr>
              <w:pStyle w:val="Compact"/>
            </w:pPr>
            <w:r>
              <w:t xml:space="preserve">105.650000</w:t>
            </w:r>
          </w:p>
        </w:tc>
        <w:tc>
          <w:tcPr/>
          <w:p>
            <w:pPr>
              <w:pStyle w:val="Compact"/>
            </w:pPr>
            <w:r>
              <w:t xml:space="preserve">4.945000</w:t>
            </w:r>
          </w:p>
        </w:tc>
        <w:tc>
          <w:tcPr/>
          <w:p>
            <w:pPr>
              <w:pStyle w:val="Compact"/>
            </w:pPr>
            <w:r>
              <w:t xml:space="preserve">1.205000</w:t>
            </w:r>
          </w:p>
        </w:tc>
        <w:tc>
          <w:tcPr/>
          <w:p>
            <w:pPr>
              <w:pStyle w:val="Compact"/>
            </w:pPr>
            <w:r>
              <w:t xml:space="preserve">3600.000000</w:t>
            </w:r>
          </w:p>
        </w:tc>
        <w:tc>
          <w:tcPr/>
          <w:p>
            <w:pPr>
              <w:pStyle w:val="Compact"/>
            </w:pPr>
            <w:r>
              <w:t xml:space="preserve">26.100000</w:t>
            </w:r>
          </w:p>
        </w:tc>
        <w:tc>
          <w:tcPr/>
          <w:p>
            <w:pPr>
              <w:pStyle w:val="Compact"/>
            </w:pPr>
            <w:r>
              <w:t xml:space="preserve">0.022500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652.500000</w:t>
            </w:r>
          </w:p>
        </w:tc>
        <w:tc>
          <w:tcPr/>
          <w:p>
            <w:pPr>
              <w:pStyle w:val="Compact"/>
            </w:pPr>
            <w:r>
              <w:t xml:space="preserve">90.750000</w:t>
            </w:r>
          </w:p>
        </w:tc>
        <w:tc>
          <w:tcPr/>
          <w:p>
            <w:pPr>
              <w:pStyle w:val="Compact"/>
            </w:pPr>
            <w:r>
              <w:t xml:space="preserve">107.450000</w:t>
            </w:r>
          </w:p>
        </w:tc>
        <w:tc>
          <w:tcPr/>
          <w:p>
            <w:pPr>
              <w:pStyle w:val="Compact"/>
            </w:pPr>
            <w:r>
              <w:t xml:space="preserve">4.977500</w:t>
            </w:r>
          </w:p>
        </w:tc>
        <w:tc>
          <w:tcPr/>
          <w:p>
            <w:pPr>
              <w:pStyle w:val="Compact"/>
            </w:pPr>
            <w:r>
              <w:t xml:space="preserve">1.542500</w:t>
            </w:r>
          </w:p>
        </w:tc>
        <w:tc>
          <w:tcPr/>
          <w:p>
            <w:pPr>
              <w:pStyle w:val="Compact"/>
            </w:pPr>
            <w:r>
              <w:t xml:space="preserve">4975.000000</w:t>
            </w:r>
          </w:p>
        </w:tc>
        <w:tc>
          <w:tcPr/>
          <w:p>
            <w:pPr>
              <w:pStyle w:val="Compact"/>
            </w:pPr>
            <w:r>
              <w:t xml:space="preserve">29.225000</w:t>
            </w:r>
          </w:p>
        </w:tc>
        <w:tc>
          <w:tcPr/>
          <w:p>
            <w:pPr>
              <w:pStyle w:val="Compact"/>
            </w:pPr>
            <w:r>
              <w:t xml:space="preserve">0.033500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870.000000</w:t>
            </w:r>
          </w:p>
        </w:tc>
        <w:tc>
          <w:tcPr/>
          <w:p>
            <w:pPr>
              <w:pStyle w:val="Compact"/>
            </w:pPr>
            <w:r>
              <w:t xml:space="preserve">95.100000</w:t>
            </w:r>
          </w:p>
        </w:tc>
        <w:tc>
          <w:tcPr/>
          <w:p>
            <w:pPr>
              <w:pStyle w:val="Compact"/>
            </w:pPr>
            <w:r>
              <w:t xml:space="preserve">108.000000</w:t>
            </w:r>
          </w:p>
        </w:tc>
        <w:tc>
          <w:tcPr/>
          <w:p>
            <w:pPr>
              <w:pStyle w:val="Compact"/>
            </w:pPr>
            <w:r>
              <w:t xml:space="preserve">5.010000</w:t>
            </w:r>
          </w:p>
        </w:tc>
        <w:tc>
          <w:tcPr/>
          <w:p>
            <w:pPr>
              <w:pStyle w:val="Compact"/>
            </w:pPr>
            <w:r>
              <w:t xml:space="preserve">1.600000</w:t>
            </w:r>
          </w:p>
        </w:tc>
        <w:tc>
          <w:tcPr/>
          <w:p>
            <w:pPr>
              <w:pStyle w:val="Compact"/>
            </w:pPr>
            <w:r>
              <w:t xml:space="preserve">5000.000000</w:t>
            </w:r>
          </w:p>
        </w:tc>
        <w:tc>
          <w:tcPr/>
          <w:p>
            <w:pPr>
              <w:pStyle w:val="Compact"/>
            </w:pPr>
            <w:r>
              <w:t xml:space="preserve">30.000000</w:t>
            </w:r>
          </w:p>
        </w:tc>
        <w:tc>
          <w:tcPr/>
          <w:p>
            <w:pPr>
              <w:pStyle w:val="Compact"/>
            </w:pPr>
            <w:r>
              <w:t xml:space="preserve">0.044000</w:t>
            </w:r>
          </w:p>
        </w:tc>
      </w:tr>
    </w:tbl>
    <w:bookmarkEnd w:id="25"/>
    <w:bookmarkStart w:id="26" w:name="missing-data-analysis"/>
    <w:p>
      <w:pPr>
        <w:pStyle w:val="Heading1"/>
      </w:pPr>
      <w:r>
        <w:t xml:space="preserve">8. Missing Data Analysis</w:t>
      </w:r>
    </w:p>
    <w:p>
      <w:pPr>
        <w:pStyle w:val="SourceCode"/>
      </w:pPr>
      <w:r>
        <w:rPr>
          <w:rStyle w:val="VerbatimChar"/>
        </w:rPr>
        <w:t xml:space="preserve">time            0</w:t>
      </w:r>
      <w:r>
        <w:br/>
      </w:r>
      <w:r>
        <w:rPr>
          <w:rStyle w:val="VerbatimChar"/>
        </w:rPr>
        <w:t xml:space="preserve">temperature     0</w:t>
      </w:r>
      <w:r>
        <w:br/>
      </w:r>
      <w:r>
        <w:rPr>
          <w:rStyle w:val="VerbatimChar"/>
        </w:rPr>
        <w:t xml:space="preserve">pressure        0</w:t>
      </w:r>
      <w:r>
        <w:br/>
      </w:r>
      <w:r>
        <w:rPr>
          <w:rStyle w:val="VerbatimChar"/>
        </w:rPr>
        <w:t xml:space="preserve">voltage         0</w:t>
      </w:r>
      <w:r>
        <w:br/>
      </w:r>
      <w:r>
        <w:rPr>
          <w:rStyle w:val="VerbatimChar"/>
        </w:rPr>
        <w:t xml:space="preserve">current         0</w:t>
      </w:r>
      <w:r>
        <w:br/>
      </w:r>
      <w:r>
        <w:rPr>
          <w:rStyle w:val="VerbatimChar"/>
        </w:rPr>
        <w:t xml:space="preserve">rpm             0</w:t>
      </w:r>
      <w:r>
        <w:br/>
      </w:r>
      <w:r>
        <w:rPr>
          <w:rStyle w:val="VerbatimChar"/>
        </w:rPr>
        <w:t xml:space="preserve">ambient_temp    0</w:t>
      </w:r>
      <w:r>
        <w:br/>
      </w:r>
      <w:r>
        <w:rPr>
          <w:rStyle w:val="VerbatimChar"/>
        </w:rPr>
        <w:t xml:space="preserve">sensor_noise    0</w:t>
      </w:r>
      <w:r>
        <w:br/>
      </w:r>
      <w:r>
        <w:rPr>
          <w:rStyle w:val="VerbatimChar"/>
        </w:rPr>
        <w:t xml:space="preserve">status          0</w:t>
      </w:r>
      <w:r>
        <w:br/>
      </w:r>
      <w:r>
        <w:rPr>
          <w:rStyle w:val="VerbatimChar"/>
        </w:rPr>
        <w:t xml:space="preserve">dtype: int64</w:t>
      </w:r>
    </w:p>
    <w:bookmarkEnd w:id="26"/>
    <w:bookmarkStart w:id="30" w:name="temperature-profile"/>
    <w:p>
      <w:pPr>
        <w:pStyle w:val="Heading1"/>
      </w:pPr>
      <w:r>
        <w:t xml:space="preserve">9. Temperature Profile</w:t>
      </w:r>
    </w:p>
    <w:p>
      <w:pPr>
        <w:pStyle w:val="FirstParagraph"/>
      </w:pPr>
      <w:r>
        <w:drawing>
          <wp:inline>
            <wp:extent cx="5943600" cy="293259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report_files/figure-docx/cell-5-outpu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voltage-stability"/>
    <w:p>
      <w:pPr>
        <w:pStyle w:val="Heading1"/>
      </w:pPr>
      <w:r>
        <w:t xml:space="preserve">10. Voltage Stability</w:t>
      </w:r>
    </w:p>
    <w:p>
      <w:pPr>
        <w:pStyle w:val="FirstParagraph"/>
      </w:pPr>
      <w:r>
        <w:drawing>
          <wp:inline>
            <wp:extent cx="5943600" cy="293259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report_files/figure-docx/cell-6-outpu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pressure-trend"/>
    <w:p>
      <w:pPr>
        <w:pStyle w:val="Heading1"/>
      </w:pPr>
      <w:r>
        <w:t xml:space="preserve">11. Pressure Trend</w:t>
      </w:r>
    </w:p>
    <w:p>
      <w:pPr>
        <w:pStyle w:val="FirstParagraph"/>
      </w:pPr>
      <w:r>
        <w:drawing>
          <wp:inline>
            <wp:extent cx="5943600" cy="2932594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report_files/figure-docx/cell-7-outpu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statistical-summary"/>
    <w:p>
      <w:pPr>
        <w:pStyle w:val="Heading1"/>
      </w:pPr>
      <w:r>
        <w:t xml:space="preserve">12. Statistical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sensor_noise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435.0</w:t>
            </w:r>
          </w:p>
        </w:tc>
        <w:tc>
          <w:tcPr/>
          <w:p>
            <w:pPr>
              <w:pStyle w:val="Compact"/>
            </w:pPr>
            <w:r>
              <w:t xml:space="preserve">64.26</w:t>
            </w:r>
          </w:p>
        </w:tc>
        <w:tc>
          <w:tcPr/>
          <w:p>
            <w:pPr>
              <w:pStyle w:val="Compact"/>
            </w:pPr>
            <w:r>
              <w:t xml:space="preserve">105.30</w:t>
            </w:r>
          </w:p>
        </w:tc>
        <w:tc>
          <w:tcPr/>
          <w:p>
            <w:pPr>
              <w:pStyle w:val="Compact"/>
            </w:pPr>
            <w:r>
              <w:t xml:space="preserve">4.95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3392.33</w:t>
            </w:r>
          </w:p>
        </w:tc>
        <w:tc>
          <w:tcPr/>
          <w:p>
            <w:pPr>
              <w:pStyle w:val="Compact"/>
            </w:pPr>
            <w:r>
              <w:t xml:space="preserve">25.74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std</w:t>
            </w:r>
          </w:p>
        </w:tc>
        <w:tc>
          <w:tcPr/>
          <w:p>
            <w:pPr>
              <w:pStyle w:val="Compact"/>
            </w:pPr>
            <w:r>
              <w:t xml:space="preserve">264.1</w:t>
            </w:r>
          </w:p>
        </w:tc>
        <w:tc>
          <w:tcPr/>
          <w:p>
            <w:pPr>
              <w:pStyle w:val="Compact"/>
            </w:pPr>
            <w:r>
              <w:t xml:space="preserve">26.20</w:t>
            </w:r>
          </w:p>
        </w:tc>
        <w:tc>
          <w:tcPr/>
          <w:p>
            <w:pPr>
              <w:pStyle w:val="Compact"/>
            </w:pPr>
            <w:r>
              <w:t xml:space="preserve">2.26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1473.18</w:t>
            </w:r>
          </w:p>
        </w:tc>
        <w:tc>
          <w:tcPr/>
          <w:p>
            <w:pPr>
              <w:pStyle w:val="Compact"/>
            </w:pPr>
            <w:r>
              <w:t xml:space="preserve">3.53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20.10</w:t>
            </w:r>
          </w:p>
        </w:tc>
        <w:tc>
          <w:tcPr/>
          <w:p>
            <w:pPr>
              <w:pStyle w:val="Compact"/>
            </w:pPr>
            <w:r>
              <w:t xml:space="preserve">101.20</w:t>
            </w:r>
          </w:p>
        </w:tc>
        <w:tc>
          <w:tcPr/>
          <w:p>
            <w:pPr>
              <w:pStyle w:val="Compact"/>
            </w:pPr>
            <w:r>
              <w:t xml:space="preserve">4.90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820.00</w:t>
            </w:r>
          </w:p>
        </w:tc>
        <w:tc>
          <w:tcPr/>
          <w:p>
            <w:pPr>
              <w:pStyle w:val="Compact"/>
            </w:pPr>
            <w:r>
              <w:t xml:space="preserve">19.80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217.5</w:t>
            </w:r>
          </w:p>
        </w:tc>
        <w:tc>
          <w:tcPr/>
          <w:p>
            <w:pPr>
              <w:pStyle w:val="Compact"/>
            </w:pPr>
            <w:r>
              <w:t xml:space="preserve">41.42</w:t>
            </w:r>
          </w:p>
        </w:tc>
        <w:tc>
          <w:tcPr/>
          <w:p>
            <w:pPr>
              <w:pStyle w:val="Compact"/>
            </w:pPr>
            <w:r>
              <w:t xml:space="preserve">103.50</w:t>
            </w:r>
          </w:p>
        </w:tc>
        <w:tc>
          <w:tcPr/>
          <w:p>
            <w:pPr>
              <w:pStyle w:val="Compact"/>
            </w:pPr>
            <w:r>
              <w:t xml:space="preserve">4.91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2150.00</w:t>
            </w:r>
          </w:p>
        </w:tc>
        <w:tc>
          <w:tcPr/>
          <w:p>
            <w:pPr>
              <w:pStyle w:val="Compact"/>
            </w:pPr>
            <w:r>
              <w:t xml:space="preserve">22.78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435.0</w:t>
            </w:r>
          </w:p>
        </w:tc>
        <w:tc>
          <w:tcPr/>
          <w:p>
            <w:pPr>
              <w:pStyle w:val="Compact"/>
            </w:pPr>
            <w:r>
              <w:t xml:space="preserve">67.60</w:t>
            </w:r>
          </w:p>
        </w:tc>
        <w:tc>
          <w:tcPr/>
          <w:p>
            <w:pPr>
              <w:pStyle w:val="Compact"/>
            </w:pPr>
            <w:r>
              <w:t xml:space="preserve">105.65</w:t>
            </w:r>
          </w:p>
        </w:tc>
        <w:tc>
          <w:tcPr/>
          <w:p>
            <w:pPr>
              <w:pStyle w:val="Compact"/>
            </w:pPr>
            <w:r>
              <w:t xml:space="preserve">4.94</w:t>
            </w:r>
          </w:p>
        </w:tc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3600.00</w:t>
            </w:r>
          </w:p>
        </w:tc>
        <w:tc>
          <w:tcPr/>
          <w:p>
            <w:pPr>
              <w:pStyle w:val="Compact"/>
            </w:pPr>
            <w:r>
              <w:t xml:space="preserve">26.10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652.5</w:t>
            </w:r>
          </w:p>
        </w:tc>
        <w:tc>
          <w:tcPr/>
          <w:p>
            <w:pPr>
              <w:pStyle w:val="Compact"/>
            </w:pPr>
            <w:r>
              <w:t xml:space="preserve">90.75</w:t>
            </w:r>
          </w:p>
        </w:tc>
        <w:tc>
          <w:tcPr/>
          <w:p>
            <w:pPr>
              <w:pStyle w:val="Compact"/>
            </w:pPr>
            <w:r>
              <w:t xml:space="preserve">107.45</w:t>
            </w:r>
          </w:p>
        </w:tc>
        <w:tc>
          <w:tcPr/>
          <w:p>
            <w:pPr>
              <w:pStyle w:val="Compact"/>
            </w:pPr>
            <w:r>
              <w:t xml:space="preserve">4.98</w:t>
            </w:r>
          </w:p>
        </w:tc>
        <w:tc>
          <w:tcPr/>
          <w:p>
            <w:pPr>
              <w:pStyle w:val="Compact"/>
            </w:pPr>
            <w:r>
              <w:t xml:space="preserve">1.54</w:t>
            </w:r>
          </w:p>
        </w:tc>
        <w:tc>
          <w:tcPr/>
          <w:p>
            <w:pPr>
              <w:pStyle w:val="Compact"/>
            </w:pPr>
            <w:r>
              <w:t xml:space="preserve">4975.00</w:t>
            </w:r>
          </w:p>
        </w:tc>
        <w:tc>
          <w:tcPr/>
          <w:p>
            <w:pPr>
              <w:pStyle w:val="Compact"/>
            </w:pPr>
            <w:r>
              <w:t xml:space="preserve">29.22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</w:t>
            </w:r>
          </w:p>
        </w:tc>
        <w:tc>
          <w:tcPr/>
          <w:p>
            <w:pPr>
              <w:pStyle w:val="Compact"/>
            </w:pPr>
            <w:r>
              <w:t xml:space="preserve">870.0</w:t>
            </w:r>
          </w:p>
        </w:tc>
        <w:tc>
          <w:tcPr/>
          <w:p>
            <w:pPr>
              <w:pStyle w:val="Compact"/>
            </w:pPr>
            <w:r>
              <w:t xml:space="preserve">95.10</w:t>
            </w:r>
          </w:p>
        </w:tc>
        <w:tc>
          <w:tcPr/>
          <w:p>
            <w:pPr>
              <w:pStyle w:val="Compact"/>
            </w:pPr>
            <w:r>
              <w:t xml:space="preserve">108.00</w:t>
            </w:r>
          </w:p>
        </w:tc>
        <w:tc>
          <w:tcPr/>
          <w:p>
            <w:pPr>
              <w:pStyle w:val="Compact"/>
            </w:pPr>
            <w:r>
              <w:t xml:space="preserve">5.01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5000.00</w:t>
            </w:r>
          </w:p>
        </w:tc>
        <w:tc>
          <w:tcPr/>
          <w:p>
            <w:pPr>
              <w:pStyle w:val="Compact"/>
            </w:pPr>
            <w:r>
              <w:t xml:space="preserve">30.00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</w:tbl>
    <w:bookmarkEnd w:id="39"/>
    <w:bookmarkStart w:id="40" w:name="key-performance-indicators"/>
    <w:p>
      <w:pPr>
        <w:pStyle w:val="Heading1"/>
      </w:pPr>
      <w:r>
        <w:t xml:space="preserve">13. Key Performance Indicators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Pressure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104.2 kPa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Voltage Drift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40"/>
    <w:bookmarkStart w:id="45" w:name="engineering-findings"/>
    <w:p>
      <w:pPr>
        <w:pStyle w:val="Heading1"/>
      </w:pPr>
      <w:r>
        <w:t xml:space="preserve">14. Engineering Findings</w:t>
      </w:r>
    </w:p>
    <w:bookmarkStart w:id="41" w:name="observation-1"/>
    <w:p>
      <w:pPr>
        <w:pStyle w:val="Heading2"/>
      </w:pPr>
      <w:r>
        <w:t xml:space="preserve">14.1 Observation 1</w:t>
      </w:r>
    </w:p>
    <w:p>
      <w:pPr>
        <w:pStyle w:val="FirstParagraph"/>
      </w:pPr>
      <w:r>
        <w:t xml:space="preserve">Temperature increased steadily throughout the endurance cycle without exceeding allowable limits.</w:t>
      </w:r>
    </w:p>
    <w:bookmarkEnd w:id="41"/>
    <w:bookmarkStart w:id="42" w:name="observation-2"/>
    <w:p>
      <w:pPr>
        <w:pStyle w:val="Heading2"/>
      </w:pPr>
      <w:r>
        <w:t xml:space="preserve">14.2 Observation 2</w:t>
      </w:r>
    </w:p>
    <w:p>
      <w:pPr>
        <w:pStyle w:val="FirstParagraph"/>
      </w:pPr>
      <w:r>
        <w:t xml:space="preserve">Voltage remained stable with only minor drift occurring during peak operating temperatures.</w:t>
      </w:r>
    </w:p>
    <w:bookmarkEnd w:id="42"/>
    <w:bookmarkStart w:id="43" w:name="observation-3"/>
    <w:p>
      <w:pPr>
        <w:pStyle w:val="Heading2"/>
      </w:pPr>
      <w:r>
        <w:t xml:space="preserve">14.3 Observation 3</w:t>
      </w:r>
    </w:p>
    <w:p>
      <w:pPr>
        <w:pStyle w:val="FirstParagraph"/>
      </w:pPr>
      <w:r>
        <w:t xml:space="preserve">Pressure values followed expected system behaviour with no abnormal spikes.</w:t>
      </w:r>
    </w:p>
    <w:bookmarkEnd w:id="43"/>
    <w:bookmarkStart w:id="44" w:name="observation-4"/>
    <w:p>
      <w:pPr>
        <w:pStyle w:val="Heading2"/>
      </w:pPr>
      <w:r>
        <w:t xml:space="preserve">14.4 Observation 4</w:t>
      </w:r>
    </w:p>
    <w:p>
      <w:pPr>
        <w:pStyle w:val="FirstParagraph"/>
      </w:pPr>
      <w:r>
        <w:t xml:space="preserve">No sensor dropout events occurred.</w:t>
      </w:r>
    </w:p>
    <w:bookmarkEnd w:id="44"/>
    <w:bookmarkEnd w:id="45"/>
    <w:bookmarkStart w:id="46" w:name="risk-assessment"/>
    <w:p>
      <w:pPr>
        <w:pStyle w:val="Heading1"/>
      </w:pPr>
      <w:r>
        <w:t xml:space="preserve">15.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drift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loss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None observed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Pressure instability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ECU communication fault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None observed</w:t>
            </w:r>
          </w:p>
        </w:tc>
      </w:tr>
    </w:tbl>
    <w:bookmarkEnd w:id="46"/>
    <w:bookmarkStart w:id="47" w:name="recommendations"/>
    <w:p>
      <w:pPr>
        <w:pStyle w:val="Heading1"/>
      </w:pPr>
      <w:r>
        <w:t xml:space="preserve">16. Recommendations</w:t>
      </w:r>
    </w:p>
    <w:p>
      <w:pPr>
        <w:pStyle w:val="FirstParagraph"/>
      </w:pPr>
      <w:r>
        <w:t xml:space="preserve">The following improvements are recommended:</w:t>
      </w:r>
    </w:p>
    <w:p>
      <w:pPr>
        <w:pStyle w:val="Compact"/>
        <w:numPr>
          <w:ilvl w:val="0"/>
          <w:numId w:val="1003"/>
        </w:numPr>
      </w:pPr>
      <w:r>
        <w:t xml:space="preserve">Continue monitoring voltage stability during hot weather testing.</w:t>
      </w:r>
    </w:p>
    <w:p>
      <w:pPr>
        <w:pStyle w:val="Compact"/>
        <w:numPr>
          <w:ilvl w:val="0"/>
          <w:numId w:val="1003"/>
        </w:numPr>
      </w:pPr>
      <w:r>
        <w:t xml:space="preserve">Increase validation duration to include longer endurance cycles.</w:t>
      </w:r>
    </w:p>
    <w:p>
      <w:pPr>
        <w:pStyle w:val="Compact"/>
        <w:numPr>
          <w:ilvl w:val="0"/>
          <w:numId w:val="1003"/>
        </w:numPr>
      </w:pPr>
      <w:r>
        <w:t xml:space="preserve">Add automatic fault classification.</w:t>
      </w:r>
    </w:p>
    <w:p>
      <w:pPr>
        <w:pStyle w:val="Compact"/>
        <w:numPr>
          <w:ilvl w:val="0"/>
          <w:numId w:val="1003"/>
        </w:numPr>
      </w:pPr>
      <w:r>
        <w:t xml:space="preserve">Integrate dashboard reporting into Power BI.</w:t>
      </w:r>
    </w:p>
    <w:p>
      <w:pPr>
        <w:pStyle w:val="Compact"/>
        <w:numPr>
          <w:ilvl w:val="0"/>
          <w:numId w:val="1003"/>
        </w:numPr>
      </w:pPr>
      <w:r>
        <w:t xml:space="preserve">Schedule automated report generation after each validation run.</w:t>
      </w:r>
    </w:p>
    <w:bookmarkEnd w:id="47"/>
    <w:bookmarkStart w:id="48" w:name="benefits"/>
    <w:p>
      <w:pPr>
        <w:pStyle w:val="Heading1"/>
      </w:pPr>
      <w:r>
        <w:t xml:space="preserve">17. Benefits</w:t>
      </w:r>
    </w:p>
    <w:p>
      <w:pPr>
        <w:pStyle w:val="FirstParagraph"/>
      </w:pPr>
      <w:r>
        <w:t xml:space="preserve">The automated reporting workflow provides:</w:t>
      </w:r>
    </w:p>
    <w:p>
      <w:pPr>
        <w:pStyle w:val="Compact"/>
        <w:numPr>
          <w:ilvl w:val="0"/>
          <w:numId w:val="1004"/>
        </w:numPr>
      </w:pPr>
      <w:r>
        <w:t xml:space="preserve">reduced manual effort</w:t>
      </w:r>
    </w:p>
    <w:p>
      <w:pPr>
        <w:pStyle w:val="Compact"/>
        <w:numPr>
          <w:ilvl w:val="0"/>
          <w:numId w:val="1004"/>
        </w:numPr>
      </w:pPr>
      <w:r>
        <w:t xml:space="preserve">repeatable reporting</w:t>
      </w:r>
    </w:p>
    <w:p>
      <w:pPr>
        <w:pStyle w:val="Compact"/>
        <w:numPr>
          <w:ilvl w:val="0"/>
          <w:numId w:val="1004"/>
        </w:numPr>
      </w:pPr>
      <w:r>
        <w:t xml:space="preserve">standardised engineering documentation</w:t>
      </w:r>
    </w:p>
    <w:p>
      <w:pPr>
        <w:pStyle w:val="Compact"/>
        <w:numPr>
          <w:ilvl w:val="0"/>
          <w:numId w:val="1004"/>
        </w:numPr>
      </w:pPr>
      <w:r>
        <w:t xml:space="preserve">improved traceability</w:t>
      </w:r>
    </w:p>
    <w:p>
      <w:pPr>
        <w:pStyle w:val="Compact"/>
        <w:numPr>
          <w:ilvl w:val="0"/>
          <w:numId w:val="1004"/>
        </w:numPr>
      </w:pPr>
      <w:r>
        <w:t xml:space="preserve">faster engineering decision making</w:t>
      </w:r>
    </w:p>
    <w:bookmarkEnd w:id="48"/>
    <w:bookmarkStart w:id="49" w:name="deliverables"/>
    <w:p>
      <w:pPr>
        <w:pStyle w:val="Heading1"/>
      </w:pPr>
      <w:r>
        <w:t xml:space="preserve">18. Deliverables</w:t>
      </w:r>
    </w:p>
    <w:p>
      <w:pPr>
        <w:pStyle w:val="FirstParagraph"/>
      </w:pPr>
      <w:r>
        <w:t xml:space="preserve">This project includes:</w:t>
      </w:r>
    </w:p>
    <w:p>
      <w:pPr>
        <w:pStyle w:val="Compact"/>
        <w:numPr>
          <w:ilvl w:val="0"/>
          <w:numId w:val="1005"/>
        </w:numPr>
      </w:pPr>
      <w:r>
        <w:t xml:space="preserve">Python data processing scripts</w:t>
      </w:r>
    </w:p>
    <w:p>
      <w:pPr>
        <w:pStyle w:val="Compact"/>
        <w:numPr>
          <w:ilvl w:val="0"/>
          <w:numId w:val="1005"/>
        </w:numPr>
      </w:pPr>
      <w:r>
        <w:t xml:space="preserve">Automated charts</w:t>
      </w:r>
    </w:p>
    <w:p>
      <w:pPr>
        <w:pStyle w:val="Compact"/>
        <w:numPr>
          <w:ilvl w:val="0"/>
          <w:numId w:val="1005"/>
        </w:numPr>
      </w:pPr>
      <w:r>
        <w:t xml:space="preserve">Engineering report template</w:t>
      </w:r>
    </w:p>
    <w:p>
      <w:pPr>
        <w:pStyle w:val="Compact"/>
        <w:numPr>
          <w:ilvl w:val="0"/>
          <w:numId w:val="1005"/>
        </w:numPr>
      </w:pPr>
      <w:r>
        <w:t xml:space="preserve">Sample dataset</w:t>
      </w:r>
    </w:p>
    <w:p>
      <w:pPr>
        <w:pStyle w:val="Compact"/>
        <w:numPr>
          <w:ilvl w:val="0"/>
          <w:numId w:val="1005"/>
        </w:numPr>
      </w:pPr>
      <w:r>
        <w:t xml:space="preserve">Documentation standards</w:t>
      </w:r>
    </w:p>
    <w:p>
      <w:pPr>
        <w:pStyle w:val="Compact"/>
        <w:numPr>
          <w:ilvl w:val="0"/>
          <w:numId w:val="1005"/>
        </w:numPr>
      </w:pPr>
      <w:r>
        <w:t xml:space="preserve">Workflow documentation</w:t>
      </w:r>
    </w:p>
    <w:bookmarkEnd w:id="49"/>
    <w:bookmarkStart w:id="50" w:name="skills-demonstrated"/>
    <w:p>
      <w:pPr>
        <w:pStyle w:val="Heading1"/>
      </w:pPr>
      <w:r>
        <w:t xml:space="preserve">19. Skills Demonstrated</w:t>
      </w:r>
    </w:p>
    <w:p>
      <w:pPr>
        <w:pStyle w:val="Compact"/>
        <w:numPr>
          <w:ilvl w:val="0"/>
          <w:numId w:val="1006"/>
        </w:numPr>
      </w:pPr>
      <w:r>
        <w:t xml:space="preserve">Engineering reporting</w:t>
      </w:r>
    </w:p>
    <w:p>
      <w:pPr>
        <w:pStyle w:val="Compact"/>
        <w:numPr>
          <w:ilvl w:val="0"/>
          <w:numId w:val="1006"/>
        </w:numPr>
      </w:pPr>
      <w:r>
        <w:t xml:space="preserve">Python automation</w:t>
      </w:r>
    </w:p>
    <w:p>
      <w:pPr>
        <w:pStyle w:val="Compact"/>
        <w:numPr>
          <w:ilvl w:val="0"/>
          <w:numId w:val="1006"/>
        </w:numPr>
      </w:pPr>
      <w:r>
        <w:t xml:space="preserve">Data analysis</w:t>
      </w:r>
    </w:p>
    <w:p>
      <w:pPr>
        <w:pStyle w:val="Compact"/>
        <w:numPr>
          <w:ilvl w:val="0"/>
          <w:numId w:val="1006"/>
        </w:numPr>
      </w:pPr>
      <w:r>
        <w:t xml:space="preserve">Technical writing</w:t>
      </w:r>
    </w:p>
    <w:p>
      <w:pPr>
        <w:pStyle w:val="Compact"/>
        <w:numPr>
          <w:ilvl w:val="0"/>
          <w:numId w:val="1006"/>
        </w:numPr>
      </w:pPr>
      <w:r>
        <w:t xml:space="preserve">Process optimisation</w:t>
      </w:r>
    </w:p>
    <w:p>
      <w:pPr>
        <w:pStyle w:val="Compact"/>
        <w:numPr>
          <w:ilvl w:val="0"/>
          <w:numId w:val="1006"/>
        </w:numPr>
      </w:pPr>
      <w:r>
        <w:t xml:space="preserve">Engineering documentation</w:t>
      </w:r>
    </w:p>
    <w:p>
      <w:pPr>
        <w:pStyle w:val="Compact"/>
        <w:numPr>
          <w:ilvl w:val="0"/>
          <w:numId w:val="1006"/>
        </w:numPr>
      </w:pPr>
      <w:r>
        <w:t xml:space="preserve">KPI reporting</w:t>
      </w:r>
    </w:p>
    <w:p>
      <w:pPr>
        <w:pStyle w:val="Compact"/>
        <w:numPr>
          <w:ilvl w:val="0"/>
          <w:numId w:val="1006"/>
        </w:numPr>
      </w:pPr>
      <w:r>
        <w:t xml:space="preserve">Data visualisation</w:t>
      </w:r>
    </w:p>
    <w:bookmarkEnd w:id="50"/>
    <w:bookmarkStart w:id="51" w:name="future-improvements"/>
    <w:p>
      <w:pPr>
        <w:pStyle w:val="Heading1"/>
      </w:pPr>
      <w:r>
        <w:t xml:space="preserve">20. Future Improvements</w:t>
      </w:r>
    </w:p>
    <w:p>
      <w:pPr>
        <w:pStyle w:val="FirstParagraph"/>
      </w:pPr>
      <w:r>
        <w:t xml:space="preserve">Potential enhancements include:</w:t>
      </w:r>
    </w:p>
    <w:p>
      <w:pPr>
        <w:pStyle w:val="Compact"/>
        <w:numPr>
          <w:ilvl w:val="0"/>
          <w:numId w:val="1007"/>
        </w:numPr>
      </w:pPr>
      <w:r>
        <w:t xml:space="preserve">Machine learning anomaly detection</w:t>
      </w:r>
    </w:p>
    <w:p>
      <w:pPr>
        <w:pStyle w:val="Compact"/>
        <w:numPr>
          <w:ilvl w:val="0"/>
          <w:numId w:val="1007"/>
        </w:numPr>
      </w:pPr>
      <w:r>
        <w:t xml:space="preserve">Live dashboard integration</w:t>
      </w:r>
    </w:p>
    <w:p>
      <w:pPr>
        <w:pStyle w:val="Compact"/>
        <w:numPr>
          <w:ilvl w:val="0"/>
          <w:numId w:val="1007"/>
        </w:numPr>
      </w:pPr>
      <w:r>
        <w:t xml:space="preserve">SQL database connectivity</w:t>
      </w:r>
    </w:p>
    <w:p>
      <w:pPr>
        <w:pStyle w:val="Compact"/>
        <w:numPr>
          <w:ilvl w:val="0"/>
          <w:numId w:val="1007"/>
        </w:numPr>
      </w:pPr>
      <w:r>
        <w:t xml:space="preserve">Automatic email distribution</w:t>
      </w:r>
    </w:p>
    <w:p>
      <w:pPr>
        <w:pStyle w:val="Compact"/>
        <w:numPr>
          <w:ilvl w:val="0"/>
          <w:numId w:val="1007"/>
        </w:numPr>
      </w:pPr>
      <w:r>
        <w:t xml:space="preserve">Multi-project reporting</w:t>
      </w:r>
    </w:p>
    <w:bookmarkEnd w:id="51"/>
    <w:bookmarkStart w:id="52" w:name="revision-history"/>
    <w:p>
      <w:pPr>
        <w:pStyle w:val="Heading1"/>
      </w:pPr>
      <w:r>
        <w:t xml:space="preserve">21.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2026-06-28</w:t>
            </w:r>
          </w:p>
        </w:tc>
        <w:tc>
          <w:tcPr/>
          <w:p>
            <w:pPr>
              <w:pStyle w:val="Compact"/>
            </w:pPr>
            <w:r>
              <w:t xml:space="preserve">Initial portfolio release</w:t>
            </w:r>
          </w:p>
        </w:tc>
      </w:tr>
    </w:tbl>
    <w:bookmarkEnd w:id="52"/>
    <w:bookmarkStart w:id="53" w:name="appendix-a-sample-data"/>
    <w:p>
      <w:pPr>
        <w:pStyle w:val="Heading1"/>
      </w:pPr>
      <w:r>
        <w:t xml:space="preserve">22. Appendix A — Sample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ambient_temp</w:t>
            </w:r>
          </w:p>
        </w:tc>
        <w:tc>
          <w:tcPr/>
          <w:p>
            <w:pPr>
              <w:pStyle w:val="Compact"/>
            </w:pPr>
            <w:r>
              <w:t xml:space="preserve">sensor_noise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750</w:t>
            </w:r>
          </w:p>
        </w:tc>
        <w:tc>
          <w:tcPr/>
          <w:p>
            <w:pPr>
              <w:pStyle w:val="Compact"/>
            </w:pPr>
            <w:r>
              <w:t xml:space="preserve">94.0</w:t>
            </w:r>
          </w:p>
        </w:tc>
        <w:tc>
          <w:tcPr/>
          <w:p>
            <w:pPr>
              <w:pStyle w:val="Compact"/>
            </w:pPr>
            <w:r>
              <w:t xml:space="preserve">107.8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1.59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780</w:t>
            </w:r>
          </w:p>
        </w:tc>
        <w:tc>
          <w:tcPr/>
          <w:p>
            <w:pPr>
              <w:pStyle w:val="Compact"/>
            </w:pPr>
            <w:r>
              <w:t xml:space="preserve">94.4</w:t>
            </w:r>
          </w:p>
        </w:tc>
        <w:tc>
          <w:tcPr/>
          <w:p>
            <w:pPr>
              <w:pStyle w:val="Compact"/>
            </w:pPr>
            <w:r>
              <w:t xml:space="preserve">107.8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29.9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810</w:t>
            </w:r>
          </w:p>
        </w:tc>
        <w:tc>
          <w:tcPr/>
          <w:p>
            <w:pPr>
              <w:pStyle w:val="Compact"/>
            </w:pPr>
            <w:r>
              <w:t xml:space="preserve">94.8</w:t>
            </w:r>
          </w:p>
        </w:tc>
        <w:tc>
          <w:tcPr/>
          <w:p>
            <w:pPr>
              <w:pStyle w:val="Compact"/>
            </w:pPr>
            <w:r>
              <w:t xml:space="preserve">107.9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840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108.0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0.043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870</w:t>
            </w:r>
          </w:p>
        </w:tc>
        <w:tc>
          <w:tcPr/>
          <w:p>
            <w:pPr>
              <w:pStyle w:val="Compact"/>
            </w:pPr>
            <w:r>
              <w:t xml:space="preserve">95.1</w:t>
            </w:r>
          </w:p>
        </w:tc>
        <w:tc>
          <w:tcPr/>
          <w:p>
            <w:pPr>
              <w:pStyle w:val="Compact"/>
            </w:pPr>
            <w:r>
              <w:t xml:space="preserve">108.0</w:t>
            </w:r>
          </w:p>
        </w:tc>
        <w:tc>
          <w:tcPr/>
          <w:p>
            <w:pPr>
              <w:pStyle w:val="Compact"/>
            </w:pPr>
            <w:r>
              <w:t xml:space="preserve">4.9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30.0</w:t>
            </w:r>
          </w:p>
        </w:tc>
        <w:tc>
          <w:tcPr/>
          <w:p>
            <w:pPr>
              <w:pStyle w:val="Compact"/>
            </w:pPr>
            <w:r>
              <w:t xml:space="preserve">0.044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53"/>
    <w:bookmarkStart w:id="54" w:name="appendix-b-report-workflow"/>
    <w:p>
      <w:pPr>
        <w:pStyle w:val="Heading1"/>
      </w:pPr>
      <w:r>
        <w:t xml:space="preserve">23. Appendix B — Report Workflow</w:t>
      </w:r>
    </w:p>
    <w:p>
      <w:pPr>
        <w:pStyle w:val="SourceCode"/>
      </w:pPr>
      <w:r>
        <w:rPr>
          <w:rStyle w:val="VerbatimChar"/>
        </w:rPr>
        <w:t xml:space="preserve">Raw Test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Import Data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Cleaning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Statistical Analysis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Chart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Engineering Assessment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Automatic Report Generation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HTML / PDF / DOCX Output</w:t>
      </w:r>
    </w:p>
    <w:bookmarkEnd w:id="54"/>
    <w:bookmarkStart w:id="55" w:name="appendix-c-folder-structure"/>
    <w:p>
      <w:pPr>
        <w:pStyle w:val="Heading1"/>
      </w:pPr>
      <w:r>
        <w:t xml:space="preserve">24. Appendix C — Folder Structure</w:t>
      </w:r>
    </w:p>
    <w:p>
      <w:pPr>
        <w:pStyle w:val="SourceCode"/>
      </w:pPr>
      <w:r>
        <w:rPr>
          <w:rStyle w:val="VerbatimChar"/>
        </w:rPr>
        <w:t xml:space="preserve">engineering-reporting-system/</w:t>
      </w:r>
      <w:r>
        <w:br/>
      </w:r>
      <w:r>
        <w:br/>
      </w:r>
      <w:r>
        <w:rPr>
          <w:rStyle w:val="VerbatimChar"/>
        </w:rPr>
        <w:t xml:space="preserve">├── report.qmd</w:t>
      </w:r>
      <w:r>
        <w:br/>
      </w:r>
      <w:r>
        <w:rPr>
          <w:rStyle w:val="VerbatimChar"/>
        </w:rPr>
        <w:t xml:space="preserve">├── _quarto.yml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└── output/</w:t>
      </w:r>
    </w:p>
    <w:bookmarkEnd w:id="55"/>
    <w:sectPr>
      <w:headerReference r:id="rId2" w:type="even"/>
      <w:headerReference r:id="rId3" w:type="default"/>
      <w:headerReference r:id="rId4" w:type="first"/>
      <w:footerReference r:id="rId5" w:type="even"/>
      <w:footerReference r:id="rId6" w:type="default"/>
      <w:footerReference r:id="rId7" w:type="first"/>
      <w:type w:val="nextPage"/>
      <w:pgSz w:h="15840" w:w="12240"/>
      <w:pgMar w:bottom="905" w:footer="283" w:gutter="0" w:header="0" w:left="1440" w:right="1440" w:top="3030"/>
      <w:pgNumType w:fmt="decimal"/>
      <w:formProt w:val="false"/>
      <w:titlePg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695"/>
      <w:gridCol w:w="5964"/>
      <w:gridCol w:w="1701"/>
    </w:tblGrid>
    <w:tr>
      <w:trPr/>
      <w:tc>
        <w:tcPr>
          <w:tcW w:w="1695" w:type="dxa"/>
          <w:tcBorders/>
        </w:tcPr>
        <w:p>
          <w:pPr>
            <w:pStyle w:val="Compact"/>
            <w:spacing w:before="36" w:after="36"/>
            <w:rPr>
              <w:b/>
              <w:bCs/>
              <w:color w:val="FF0000"/>
              <w:sz w:val="20"/>
              <w:szCs w:val="20"/>
            </w:rPr>
          </w:pPr>
          <w:r>
            <w:rPr>
              <w:b/>
              <w:bCs/>
              <w:color w:val="FF0000"/>
              <w:sz w:val="20"/>
              <w:szCs w:val="20"/>
            </w:rPr>
            <w:fldChar w:fldCharType="begin"/>
          </w:r>
          <w:r>
            <w:rPr>
              <w:b/>
              <w:bCs/>
              <w:color w:val="FF0000"/>
              <w:sz w:val="20"/>
              <w:szCs w:val="20"/>
            </w:rPr>
            <w:instrText xml:space="preserve"> DOCPROPERTY "classification"</w:instrText>
          </w:r>
          <w:r>
            <w:rPr>
              <w:b/>
              <w:bCs/>
              <w:color w:val="FF0000"/>
              <w:sz w:val="20"/>
              <w:szCs w:val="20"/>
            </w:rPr>
            <w:fldChar w:fldCharType="separate"/>
          </w:r>
          <w:r>
            <w:rPr>
              <w:b/>
              <w:bCs/>
              <w:color w:val="FF0000"/>
              <w:sz w:val="20"/>
              <w:szCs w:val="20"/>
            </w:rPr>
            <w:t>Confidential</w:t>
          </w:r>
          <w:r>
            <w:rPr>
              <w:b/>
              <w:bCs/>
              <w:color w:val="FF0000"/>
              <w:sz w:val="20"/>
              <w:szCs w:val="20"/>
            </w:rPr>
            <w:fldChar w:fldCharType="end"/>
          </w:r>
        </w:p>
      </w:tc>
      <w:tc>
        <w:tcPr>
          <w:tcW w:w="5964" w:type="dxa"/>
          <w:tcBorders/>
        </w:tcPr>
        <w:p>
          <w:pPr>
            <w:pStyle w:val="Compact"/>
            <w:spacing w:before="36" w:after="36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"document-id"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doc-id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TITLE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title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t>v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"version"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vers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701" w:type="dxa"/>
          <w:tcBorders/>
        </w:tcPr>
        <w:p>
          <w:pPr>
            <w:pStyle w:val="Compact"/>
            <w:spacing w:before="36" w:after="3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695"/>
      <w:gridCol w:w="5964"/>
      <w:gridCol w:w="1701"/>
    </w:tblGrid>
    <w:tr>
      <w:trPr>
        <w:trHeight w:val="340" w:hRule="atLeast"/>
      </w:trPr>
      <w:tc>
        <w:tcPr>
          <w:tcW w:w="1695" w:type="dxa"/>
          <w:tcBorders/>
        </w:tcPr>
        <w:p>
          <w:pPr>
            <w:pStyle w:val="Compact"/>
            <w:spacing w:before="36" w:after="36"/>
            <w:rPr>
              <w:b/>
              <w:bCs/>
              <w:color w:val="FF0000"/>
              <w:sz w:val="20"/>
              <w:szCs w:val="20"/>
            </w:rPr>
          </w:pPr>
          <w:r>
            <w:rPr>
              <w:b/>
              <w:bCs/>
              <w:color w:val="FF0000"/>
              <w:sz w:val="20"/>
              <w:szCs w:val="20"/>
            </w:rPr>
            <w:fldChar w:fldCharType="begin"/>
          </w:r>
          <w:r>
            <w:rPr>
              <w:b/>
              <w:bCs/>
              <w:color w:val="FF0000"/>
              <w:sz w:val="20"/>
              <w:szCs w:val="20"/>
            </w:rPr>
            <w:instrText xml:space="preserve"> DOCPROPERTY "classification"</w:instrText>
          </w:r>
          <w:r>
            <w:rPr>
              <w:b/>
              <w:bCs/>
              <w:color w:val="FF0000"/>
              <w:sz w:val="20"/>
              <w:szCs w:val="20"/>
            </w:rPr>
            <w:fldChar w:fldCharType="separate"/>
          </w:r>
          <w:r>
            <w:rPr>
              <w:b/>
              <w:bCs/>
              <w:color w:val="FF0000"/>
              <w:sz w:val="20"/>
              <w:szCs w:val="20"/>
            </w:rPr>
            <w:t>Confidential</w:t>
          </w:r>
          <w:r>
            <w:rPr>
              <w:b/>
              <w:bCs/>
              <w:color w:val="FF0000"/>
              <w:sz w:val="20"/>
              <w:szCs w:val="20"/>
            </w:rPr>
            <w:fldChar w:fldCharType="end"/>
          </w:r>
        </w:p>
      </w:tc>
      <w:tc>
        <w:tcPr>
          <w:tcW w:w="5964" w:type="dxa"/>
          <w:tcBorders/>
        </w:tcPr>
        <w:p>
          <w:pPr>
            <w:pStyle w:val="Compact"/>
            <w:spacing w:before="36" w:after="36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"document-id"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doc-id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TITLE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title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t>v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"version"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vers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701" w:type="dxa"/>
          <w:tcBorders/>
        </w:tcPr>
        <w:p>
          <w:pPr>
            <w:pStyle w:val="Compact"/>
            <w:spacing w:before="36" w:after="3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80" w:after="180"/>
      <w:jc w:val="right"/>
      <w:rPr/>
    </w:pPr>
    <w:r>
      <w:rPr/>
      <w:drawing>
        <wp:inline distT="0" distB="0" distL="0" distR="0">
          <wp:extent cx="720090" cy="720090"/>
          <wp:effectExtent l="0" t="0" r="0" b="0"/>
          <wp:docPr id="1" name="Image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y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871"/>
      <w:gridCol w:w="2487"/>
      <w:gridCol w:w="2895"/>
      <w:gridCol w:w="2107"/>
    </w:tblGrid>
    <w:tr>
      <w:trPr>
        <w:trHeight w:val="227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From</w:t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Reference</w:t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Tel</w:t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Stuttgart</w:t>
          </w:r>
        </w:p>
      </w:tc>
    </w:tr>
    <w:tr>
      <w:trPr>
        <w:trHeight w:val="113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"department"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department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AUTHOR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"tel"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+49 xxxxxxxxxx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"date"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date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rPr>
        <w:sz w:val="16"/>
        <w:szCs w:val="16"/>
      </w:rPr>
    </w:pPr>
    <w:r>
      <w:rPr>
        <w:sz w:val="16"/>
        <w:szCs w:val="16"/>
      </w:rPr>
      <w:t>Report</w:t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34"/>
      <w:gridCol w:w="5386"/>
      <w:gridCol w:w="777"/>
      <w:gridCol w:w="2063"/>
    </w:tblGrid>
    <w:tr>
      <w:trPr>
        <w:trHeight w:val="57" w:hRule="atLeast"/>
      </w:trPr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5386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DOCPROPERTY "document-id"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doc-id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77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</w:t>
          </w:r>
        </w:p>
      </w:tc>
      <w:tc>
        <w:tcPr>
          <w:tcW w:w="2063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DOCPROPERTY "version"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vers</w:t>
          </w:r>
          <w:r>
            <w:rPr>
              <w:sz w:val="16"/>
              <w:szCs w:val="16"/>
            </w:rPr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fldChar w:fldCharType="begin"/>
          </w:r>
          <w:r>
            <w:rPr>
              <w:b/>
              <w:bCs/>
              <w:sz w:val="16"/>
              <w:szCs w:val="16"/>
            </w:rPr>
            <w:instrText xml:space="preserve"> TITLE </w:instrText>
          </w:r>
          <w:r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title</w:t>
          </w:r>
          <w:r>
            <w:rPr>
              <w:b/>
              <w:bCs/>
              <w:sz w:val="16"/>
              <w:szCs w:val="16"/>
            </w:rPr>
            <w:fldChar w:fldCharType="end"/>
          </w:r>
        </w:p>
      </w:tc>
    </w:tr>
  </w:tbl>
  <w:p>
    <w:pPr>
      <w:pStyle w:val="Normal"/>
      <w:spacing w:before="36" w:after="36"/>
      <w:rPr>
        <w:sz w:val="12"/>
        <w:szCs w:val="12"/>
      </w:rPr>
    </w:pPr>
    <w:r>
      <w:rPr>
        <w:sz w:val="12"/>
        <w:szCs w:val="1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80" w:after="180"/>
      <w:jc w:val="right"/>
      <w:rPr/>
    </w:pPr>
    <w:r>
      <w:rPr/>
      <w:drawing>
        <wp:inline distT="0" distB="0" distL="0" distR="0">
          <wp:extent cx="720090" cy="72009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871"/>
      <w:gridCol w:w="2487"/>
      <w:gridCol w:w="2895"/>
      <w:gridCol w:w="2107"/>
    </w:tblGrid>
    <w:tr>
      <w:trPr>
        <w:trHeight w:val="57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From</w:t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Reference</w:t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Tel</w:t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Stuttgart</w:t>
          </w:r>
        </w:p>
      </w:tc>
    </w:tr>
    <w:tr>
      <w:trPr>
        <w:trHeight w:val="254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"department"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department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AUTHOR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"tel"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+49 xxxxxxxxxx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"date"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date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BodyText"/>
      <w:spacing w:before="180" w:after="180"/>
      <w:rPr>
        <w:b/>
        <w:bCs/>
      </w:rPr>
    </w:pPr>
    <w:r>
      <w:rPr>
        <w:b/>
        <w:bCs/>
      </w:rPr>
      <w:t>Report</w:t>
    </w:r>
  </w:p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134"/>
      <w:gridCol w:w="5386"/>
      <w:gridCol w:w="777"/>
      <w:gridCol w:w="2063"/>
    </w:tblGrid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5386" w:type="dxa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"document-id"</w:instrText>
          </w:r>
          <w:r>
            <w:rPr/>
            <w:fldChar w:fldCharType="separate"/>
          </w:r>
          <w:r>
            <w:rPr/>
            <w:t>doc-id</w:t>
          </w:r>
          <w:r>
            <w:rPr/>
            <w:fldChar w:fldCharType="end"/>
          </w:r>
        </w:p>
      </w:tc>
      <w:tc>
        <w:tcPr>
          <w:tcW w:w="77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</w:t>
          </w:r>
        </w:p>
      </w:tc>
      <w:tc>
        <w:tcPr>
          <w:tcW w:w="2063" w:type="dxa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"version"</w:instrText>
          </w:r>
          <w:r>
            <w:rPr/>
            <w:fldChar w:fldCharType="separate"/>
          </w:r>
          <w:r>
            <w:rPr/>
            <w:t>vers</w:t>
          </w:r>
          <w:r>
            <w:rPr/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TITLE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title</w:t>
          </w:r>
          <w:r>
            <w:rPr>
              <w:b/>
              <w:bCs/>
            </w:rPr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Description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"subtitle"</w:instrText>
          </w:r>
          <w:r>
            <w:rPr/>
            <w:fldChar w:fldCharType="separate"/>
          </w:r>
          <w:r>
            <w:rPr/>
            <w:t>subtitle</w:t>
          </w:r>
          <w:r>
            <w:rPr/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0"/>
  <w:embedSystemFonts/>
  <w:proofState w:grammar="clean" w:spelling="clean"/>
  <w:stylePaneFormatFilter w:val="0004"/>
  <w:doNotTrackMoves/>
  <w:defaultTabStop w:val="643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asciiTheme="minorHAnsi" w:cs="" w:cstheme="minorBidi" w:eastAsia="" w:eastAsiaTheme="minorEastAsia" w:hAnsi="Aptos" w:hAnsiTheme="minorHAnsi"/>
        <w:sz w:val="24"/>
        <w:szCs w:val="24"/>
        <w:lang w:bidi="ar-SA" w:eastAsia="zh-CN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Arial" w:cs="" w:cstheme="minorBidi" w:eastAsia="" w:eastAsiaTheme="minorEastAsia" w:hAnsi="Arial"/>
      <w:color w:val="auto"/>
      <w:kern w:val="0"/>
      <w:sz w:val="24"/>
      <w:szCs w:val="24"/>
      <w:lang w:bidi="ar-SA" w:eastAsia="zh-CN" w:val="en-US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pageBreakBefore/>
      <w:spacing w:after="80" w:before="360"/>
      <w:outlineLvl w:val="0"/>
    </w:pPr>
    <w:rPr>
      <w:rFonts w:ascii="Arial" w:cs="" w:cstheme="majorBidi" w:eastAsia="" w:eastAsiaTheme="majorEastAsia" w:hAnsi="Arial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after="80" w:before="160"/>
      <w:outlineLvl w:val="1"/>
    </w:pPr>
    <w:rPr>
      <w:rFonts w:ascii="Arial" w:cs="" w:cstheme="majorBidi" w:eastAsia="" w:eastAsiaTheme="majorEastAsia" w:hAnsi="Arial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after="80" w:before="160"/>
      <w:outlineLvl w:val="2"/>
    </w:pPr>
    <w:rPr>
      <w:rFonts w:cs="" w:cstheme="majorBidi" w:eastAsia="" w:eastAsiaTheme="majorEastAsia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after="40" w:before="80"/>
      <w:outlineLvl w:val="3"/>
    </w:pPr>
    <w:rPr>
      <w:rFonts w:cs="" w:cstheme="majorBidi" w:eastAsia="" w:eastAsiaTheme="majorEastAsia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after="40" w:before="80"/>
      <w:outlineLvl w:val="4"/>
    </w:pPr>
    <w:rPr>
      <w:rFonts w:cs="" w:cstheme="majorBidi" w:eastAsia="" w:eastAsiaTheme="majorEastAsia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after="0" w:before="40"/>
      <w:outlineLvl w:val="5"/>
    </w:pPr>
    <w:rPr>
      <w:rFonts w:cs="" w:cstheme="majorBidi" w:eastAsia="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after="0" w:before="40"/>
      <w:outlineLvl w:val="6"/>
    </w:pPr>
    <w:rPr>
      <w:rFonts w:cs="" w:cstheme="majorBidi" w:eastAsia="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after="0" w:before="0"/>
      <w:outlineLvl w:val="7"/>
    </w:pPr>
    <w:rPr>
      <w:rFonts w:cs="" w:cstheme="majorBidi" w:eastAsia="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after="0" w:before="0"/>
      <w:outlineLvl w:val="8"/>
    </w:pPr>
    <w:rPr>
      <w:rFonts w:cs="" w:cstheme="majorBidi" w:eastAsia="" w:eastAsiaTheme="majorEastAsia"/>
      <w:color w:themeColor="text1" w:themeTint="d8" w:val="272727"/>
    </w:rPr>
  </w:style>
  <w:style w:customStyle="1" w:styleId="TitleChar" w:type="character">
    <w:name w:val="Title Char"/>
    <w:basedOn w:val="DefaultParagraphFont"/>
    <w:link w:val="Title"/>
    <w:uiPriority w:val="10"/>
    <w:qFormat/>
    <w:rsid w:val="00a10fd9"/>
    <w:rPr>
      <w:rFonts w:ascii="Aptos Display" w:asciiTheme="majorHAnsi" w:cs="" w:cstheme="majorBidi" w:eastAsia="" w:eastAsiaTheme="majorEastAsia" w:hAnsi="Aptos Display" w:hAnsiTheme="majorHAns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a10fd9"/>
    <w:rPr>
      <w:rFonts w:cs="" w:cstheme="majorBidi" w:eastAsia="" w:eastAsiaTheme="majorEastAsia"/>
      <w:color w:themeColor="text1" w:themeTint="a6" w:val="595959"/>
      <w:spacing w:val="15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qFormat/>
    <w:rsid w:val="00a10fd9"/>
    <w:rPr>
      <w:rFonts w:ascii="Aptos Display" w:asciiTheme="majorHAnsi" w:cs="" w:cstheme="majorBidi" w:eastAsia="" w:eastAsiaTheme="majorEastAsia" w:hAnsi="Aptos Display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a10fd9"/>
    <w:rPr>
      <w:rFonts w:cs="" w:cstheme="majorBidi" w:eastAsia="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a10fd9"/>
    <w:rPr>
      <w:rFonts w:cs="" w:cstheme="majorBidi" w:eastAsia="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a10fd9"/>
    <w:rPr>
      <w:rFonts w:cs="" w:cstheme="majorBidi" w:eastAsia="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a10fd9"/>
    <w:rPr>
      <w:rFonts w:cs="" w:cstheme="majorBidi" w:eastAsia="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a10fd9"/>
    <w:rPr>
      <w:rFonts w:cs="" w:cstheme="majorBidi" w:eastAsia="" w:eastAsiaTheme="majorEastAsia"/>
      <w:color w:themeColor="text1" w:themeTint="d8" w:val="272727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qFormat/>
    <w:rPr>
      <w:vertAlign w:val="superscript"/>
    </w:rPr>
  </w:style>
  <w:style w:styleId="FootnoteCharactersuser" w:type="character">
    <w:name w:val="Footnote Characters (user)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qFormat/>
    <w:rPr>
      <w:color w:val="AD0000"/>
      <w:shd w:fill="F1F3F5" w:val="clear"/>
    </w:rPr>
  </w:style>
  <w:style w:customStyle="1" w:styleId="DecValTok" w:type="character">
    <w:name w:val="DecValTok"/>
    <w:basedOn w:val="VerbatimChar"/>
    <w:qFormat/>
    <w:rPr>
      <w:color w:val="AD0000"/>
      <w:shd w:fill="F1F3F5" w:val="clear"/>
    </w:rPr>
  </w:style>
  <w:style w:customStyle="1" w:styleId="BaseNTok" w:type="character">
    <w:name w:val="BaseNTok"/>
    <w:basedOn w:val="VerbatimChar"/>
    <w:qFormat/>
    <w:rPr>
      <w:color w:val="AD0000"/>
      <w:shd w:fill="F1F3F5" w:val="clear"/>
    </w:rPr>
  </w:style>
  <w:style w:customStyle="1" w:styleId="FloatTok" w:type="character">
    <w:name w:val="FloatTok"/>
    <w:basedOn w:val="VerbatimChar"/>
    <w:qFormat/>
    <w:rPr>
      <w:color w:val="AD0000"/>
      <w:shd w:fill="F1F3F5" w:val="clear"/>
    </w:rPr>
  </w:style>
  <w:style w:customStyle="1" w:styleId="ConstantTok" w:type="character">
    <w:name w:val="ConstantTok"/>
    <w:basedOn w:val="VerbatimChar"/>
    <w:qFormat/>
    <w:rPr>
      <w:color w:val="8F5902"/>
      <w:shd w:fill="F1F3F5" w:val="clear"/>
    </w:rPr>
  </w:style>
  <w:style w:customStyle="1" w:styleId="CharTok" w:type="character">
    <w:name w:val="CharTok"/>
    <w:basedOn w:val="VerbatimChar"/>
    <w:qFormat/>
    <w:rPr>
      <w:color w:val="20794D"/>
      <w:shd w:fill="F1F3F5" w:val="clear"/>
    </w:rPr>
  </w:style>
  <w:style w:customStyle="1" w:styleId="SpecialCharTok" w:type="character">
    <w:name w:val="SpecialCharTok"/>
    <w:basedOn w:val="VerbatimChar"/>
    <w:qFormat/>
    <w:rPr>
      <w:color w:val="5E5E5E"/>
      <w:shd w:fill="F1F3F5" w:val="clear"/>
    </w:rPr>
  </w:style>
  <w:style w:customStyle="1" w:styleId="StringTok" w:type="character">
    <w:name w:val="StringTok"/>
    <w:basedOn w:val="VerbatimChar"/>
    <w:qFormat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qFormat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qFormat/>
    <w:rPr>
      <w:color w:val="20794D"/>
      <w:shd w:fill="F1F3F5" w:val="clear"/>
    </w:rPr>
  </w:style>
  <w:style w:customStyle="1" w:styleId="ImportTok" w:type="character">
    <w:name w:val="ImportTok"/>
    <w:basedOn w:val="VerbatimChar"/>
    <w:qFormat/>
    <w:rPr>
      <w:color w:val="00769E"/>
      <w:shd w:fill="F1F3F5" w:val="clear"/>
    </w:rPr>
  </w:style>
  <w:style w:customStyle="1" w:styleId="CommentTok" w:type="character">
    <w:name w:val="CommentTok"/>
    <w:basedOn w:val="VerbatimChar"/>
    <w:qFormat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qFormat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qFormat/>
    <w:rPr>
      <w:color w:val="5E5E5E"/>
      <w:shd w:fill="F1F3F5" w:val="clear"/>
    </w:rPr>
  </w:style>
  <w:style w:customStyle="1" w:styleId="CommentVarTok" w:type="character">
    <w:name w:val="CommentVarTok"/>
    <w:basedOn w:val="VerbatimChar"/>
    <w:qFormat/>
    <w:rPr>
      <w:i/>
      <w:color w:val="5E5E5E"/>
      <w:shd w:fill="F1F3F5" w:val="clear"/>
    </w:rPr>
  </w:style>
  <w:style w:customStyle="1" w:styleId="OtherTok" w:type="character">
    <w:name w:val="OtherTok"/>
    <w:basedOn w:val="VerbatimChar"/>
    <w:qFormat/>
    <w:rPr>
      <w:color w:val="003B4F"/>
      <w:shd w:fill="F1F3F5" w:val="clear"/>
    </w:rPr>
  </w:style>
  <w:style w:customStyle="1" w:styleId="FunctionTok" w:type="character">
    <w:name w:val="FunctionTok"/>
    <w:basedOn w:val="VerbatimChar"/>
    <w:qFormat/>
    <w:rPr>
      <w:color w:val="4758AB"/>
      <w:shd w:fill="F1F3F5" w:val="clear"/>
    </w:rPr>
  </w:style>
  <w:style w:customStyle="1" w:styleId="VariableTok" w:type="character">
    <w:name w:val="VariableTok"/>
    <w:basedOn w:val="VerbatimChar"/>
    <w:qFormat/>
    <w:rPr>
      <w:color w:val="111111"/>
      <w:shd w:fill="F1F3F5" w:val="clear"/>
    </w:rPr>
  </w:style>
  <w:style w:customStyle="1" w:styleId="ControlFlowTok" w:type="character">
    <w:name w:val="ControlFlowTok"/>
    <w:basedOn w:val="VerbatimChar"/>
    <w:qFormat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qFormat/>
    <w:rPr>
      <w:color w:val="5E5E5E"/>
      <w:shd w:fill="F1F3F5" w:val="clear"/>
    </w:rPr>
  </w:style>
  <w:style w:customStyle="1" w:styleId="BuiltInTok" w:type="character">
    <w:name w:val="BuiltInTok"/>
    <w:basedOn w:val="VerbatimChar"/>
    <w:qFormat/>
    <w:rPr>
      <w:color w:val="003B4F"/>
      <w:shd w:fill="F1F3F5" w:val="clear"/>
    </w:rPr>
  </w:style>
  <w:style w:customStyle="1" w:styleId="ExtensionTok" w:type="character">
    <w:name w:val="ExtensionTok"/>
    <w:basedOn w:val="VerbatimChar"/>
    <w:qFormat/>
    <w:rPr>
      <w:color w:val="003B4F"/>
      <w:shd w:fill="F1F3F5" w:val="clear"/>
    </w:rPr>
  </w:style>
  <w:style w:customStyle="1" w:styleId="PreprocessorTok" w:type="character">
    <w:name w:val="PreprocessorTok"/>
    <w:basedOn w:val="VerbatimChar"/>
    <w:qFormat/>
    <w:rPr>
      <w:color w:val="AD0000"/>
      <w:shd w:fill="F1F3F5" w:val="clear"/>
    </w:rPr>
  </w:style>
  <w:style w:customStyle="1" w:styleId="AttributeTok" w:type="character">
    <w:name w:val="AttributeTok"/>
    <w:basedOn w:val="VerbatimChar"/>
    <w:qFormat/>
    <w:rPr>
      <w:color w:val="657422"/>
      <w:shd w:fill="F1F3F5" w:val="clear"/>
    </w:rPr>
  </w:style>
  <w:style w:customStyle="1" w:styleId="RegionMarkerTok" w:type="character">
    <w:name w:val="RegionMarkerTok"/>
    <w:basedOn w:val="VerbatimChar"/>
    <w:qFormat/>
    <w:rPr>
      <w:color w:val="003B4F"/>
      <w:shd w:fill="F1F3F5" w:val="clear"/>
    </w:rPr>
  </w:style>
  <w:style w:customStyle="1" w:styleId="InformationTok" w:type="character">
    <w:name w:val="InformationTok"/>
    <w:basedOn w:val="VerbatimChar"/>
    <w:qFormat/>
    <w:rPr>
      <w:color w:val="5E5E5E"/>
      <w:shd w:fill="F1F3F5" w:val="clear"/>
    </w:rPr>
  </w:style>
  <w:style w:customStyle="1" w:styleId="WarningTok" w:type="character">
    <w:name w:val="WarningTok"/>
    <w:basedOn w:val="VerbatimChar"/>
    <w:qFormat/>
    <w:rPr>
      <w:i/>
      <w:color w:val="5E5E5E"/>
      <w:shd w:fill="F1F3F5" w:val="clear"/>
    </w:rPr>
  </w:style>
  <w:style w:customStyle="1" w:styleId="AlertTok" w:type="character">
    <w:name w:val="AlertTok"/>
    <w:basedOn w:val="VerbatimChar"/>
    <w:qFormat/>
    <w:rPr>
      <w:color w:val="AD0000"/>
      <w:shd w:fill="F1F3F5" w:val="clear"/>
    </w:rPr>
  </w:style>
  <w:style w:customStyle="1" w:styleId="ErrorTok" w:type="character">
    <w:name w:val="ErrorTok"/>
    <w:basedOn w:val="VerbatimChar"/>
    <w:qFormat/>
    <w:rPr>
      <w:color w:val="AD0000"/>
      <w:shd w:fill="F1F3F5" w:val="clear"/>
    </w:rPr>
  </w:style>
  <w:style w:customStyle="1" w:styleId="NormalTok" w:type="character">
    <w:name w:val="NormalTok"/>
    <w:basedOn w:val="VerbatimChar"/>
    <w:qFormat/>
    <w:rPr>
      <w:color w:val="003B4F"/>
      <w:shd w:fill="F1F3F5" w:val="clear"/>
    </w:rPr>
  </w:style>
  <w:style w:styleId="NumberingSymbols" w:type="character">
    <w:name w:val="Numbering Symbols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Arial Unicode MS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  <w:spacing w:after="0" w:before="0"/>
    </w:pPr>
    <w:rPr>
      <w:rFonts w:cs="Arial Unicode MS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before="0" w:line="240" w:lineRule="auto"/>
      <w:contextualSpacing/>
      <w:jc w:val="center"/>
    </w:pPr>
    <w:rPr>
      <w:rFonts w:ascii="Arial" w:cs="" w:cstheme="majorBidi" w:eastAsia="" w:eastAsiaTheme="majorEastAsia" w:hAnsi="Arial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/>
    <w:rPr>
      <w:rFonts w:cs="" w:cstheme="majorBidi" w:eastAsia="" w:eastAsiaTheme="majorEastAsia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hanging="0" w:left="480" w:right="480"/>
    </w:pPr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80" w:before="240" w:line="259" w:lineRule="auto"/>
      <w:outlineLvl w:val="9"/>
    </w:pPr>
    <w:rPr>
      <w:rFonts w:ascii="Arial" w:cs="" w:cstheme="majorBidi" w:eastAsia="" w:eastAsiaTheme="majorEastAsia" w:hAnsi="Arial"/>
      <w:b w:val="false"/>
      <w:bCs w:val="false"/>
      <w:color w:val="000000"/>
    </w:rPr>
  </w:style>
  <w:style w:customStyle="1" w:styleId="SourceCode" w:type="paragraph">
    <w:name w:val="Source Code"/>
    <w:basedOn w:val="Normal"/>
    <w:link w:val="VerbatimChar"/>
    <w:qFormat/>
    <w:pPr>
      <w:shd w:fill="F1F3F5" w:val="clear"/>
    </w:pPr>
    <w:rPr/>
  </w:style>
  <w:style w:styleId="TOC1" w:type="paragraph">
    <w:name w:val="toc 1"/>
    <w:basedOn w:val="Index"/>
    <w:pPr>
      <w:tabs>
        <w:tab w:pos="643" w:val="clear"/>
        <w:tab w:leader="dot" w:pos="9360" w:val="right"/>
      </w:tabs>
      <w:ind w:hanging="0" w:left="0"/>
    </w:pPr>
    <w:rPr/>
  </w:style>
  <w:style w:styleId="TOC2" w:type="paragraph">
    <w:name w:val="toc 2"/>
    <w:basedOn w:val="Index"/>
    <w:pPr>
      <w:tabs>
        <w:tab w:pos="643" w:val="clear"/>
        <w:tab w:leader="dot" w:pos="9077" w:val="right"/>
      </w:tabs>
      <w:ind w:hanging="0" w:left="283"/>
    </w:pPr>
    <w:rPr/>
  </w:style>
  <w:style w:styleId="TOC3" w:type="paragraph">
    <w:name w:val="toc 3"/>
    <w:basedOn w:val="Index"/>
    <w:pPr>
      <w:tabs>
        <w:tab w:pos="643" w:val="clear"/>
        <w:tab w:leader="dot" w:pos="8793" w:val="right"/>
      </w:tabs>
      <w:ind w:hanging="0" w:left="567"/>
    </w:pPr>
    <w:rPr/>
  </w:style>
  <w:style w:styleId="HeaderandFooter" w:type="paragraph">
    <w:name w:val="Header and Footer"/>
    <w:basedOn w:val="Normal"/>
    <w:qFormat/>
    <w:pPr>
      <w:suppressLineNumbers/>
      <w:tabs>
        <w:tab w:pos="643" w:val="clear"/>
        <w:tab w:leader="none" w:pos="4680" w:val="center"/>
        <w:tab w:leader="none" w:pos="9360" w:val="right"/>
      </w:tabs>
    </w:pPr>
    <w:rPr/>
  </w:style>
  <w:style w:styleId="Header" w:type="paragraph">
    <w:name w:val="header"/>
    <w:basedOn w:val="HeaderandFooter"/>
    <w:pPr>
      <w:suppressLineNumbers/>
    </w:pPr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Footer" w:type="paragraph">
    <w:name w:val="footer"/>
    <w:basedOn w:val="HeaderandFooter"/>
    <w:pPr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Numbering123" w:type="numbering">
    <w:name w:val="Numbering 123"/>
    <w:qFormat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2" Target="header1.xml" Type="http://schemas.openxmlformats.org/officeDocument/2006/relationships/header" /><Relationship Id="rId3" Target="header2.xml" Type="http://schemas.openxmlformats.org/officeDocument/2006/relationships/header" /><Relationship Id="rId4" Target="header3.xml" Type="http://schemas.openxmlformats.org/officeDocument/2006/relationships/header" /><Relationship Id="rId5" Target="footer1.xml" Type="http://schemas.openxmlformats.org/officeDocument/2006/relationships/footer" /><Relationship Id="rId6" Target="footer2.xml" Type="http://schemas.openxmlformats.org/officeDocument/2006/relationships/footer" /><Relationship Id="rId7" Target="footer3.xml" Type="http://schemas.openxmlformats.org/officeDocument/2006/relationships/footer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LibreOffice/26.2.0.3$MacOSX_X86_64 LibreOffice_project/afbbd0df0edb6d40b450b0337ac646b0913a760c</Application>
  <AppVersion>15.0000</AppVersion>
  <Pages>3</Pages>
  <Words>65</Words>
  <Characters>328</Characters>
  <CharactersWithSpaces>356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Maintenance Reporting System</dc:title>
  <dc:creator>Cassandra Davis</dc:creator>
  <cp:keywords/>
  <dcterms:created xsi:type="dcterms:W3CDTF">2026-06-30T19:50:17Z</dcterms:created>
  <dcterms:modified xsi:type="dcterms:W3CDTF">2026-06-30T19:50:17Z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assification">
    <vt:lpwstr>Confidential</vt:lpwstr>
  </property>
  <property fmtid="{D5CDD505-2E9C-101B-9397-08002B2CF9AE}" pid="6" name="customer">
    <vt:lpwstr>Fictional Automotive OEM</vt:lpwstr>
  </property>
  <property fmtid="{D5CDD505-2E9C-101B-9397-08002B2CF9AE}" pid="7" name="date">
    <vt:lpwstr>2026-06-30</vt:lpwstr>
  </property>
  <property fmtid="{D5CDD505-2E9C-101B-9397-08002B2CF9AE}" pid="8" name="department">
    <vt:lpwstr>Engineering</vt:lpwstr>
  </property>
  <property fmtid="{D5CDD505-2E9C-101B-9397-08002B2CF9AE}" pid="9" name="document-id">
    <vt:lpwstr>PMR-001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ocation">
    <vt:lpwstr>Stuttgart</vt:lpwstr>
  </property>
  <property fmtid="{D5CDD505-2E9C-101B-9397-08002B2CF9AE}" pid="16" name="status">
    <vt:lpwstr>Final</vt:lpwstr>
  </property>
  <property fmtid="{D5CDD505-2E9C-101B-9397-08002B2CF9AE}" pid="17" name="subtitle">
    <vt:lpwstr>Engineering Validation Report</vt:lpwstr>
  </property>
  <property fmtid="{D5CDD505-2E9C-101B-9397-08002B2CF9AE}" pid="18" name="tel">
    <vt:lpwstr>+49 xxxxxxxxxx</vt:lpwstr>
  </property>
  <property fmtid="{D5CDD505-2E9C-101B-9397-08002B2CF9AE}" pid="19" name="toc-title">
    <vt:lpwstr>Table of contents</vt:lpwstr>
  </property>
  <property fmtid="{D5CDD505-2E9C-101B-9397-08002B2CF9AE}" pid="20" name="version">
    <vt:lpwstr>1.1</vt:lpwstr>
  </property>
</Properties>
</file>