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5908D">
      <w:pPr>
        <w:spacing w:before="0" w:after="80"/>
        <w:jc w:val="center"/>
      </w:pPr>
      <w:r>
        <w:rPr>
          <w:rFonts w:ascii="Arial" w:hAnsi="Arial" w:eastAsia="Arial" w:cs="Arial"/>
          <w:b/>
          <w:bCs/>
          <w:color w:val="1F5C8B"/>
          <w:sz w:val="52"/>
          <w:szCs w:val="52"/>
        </w:rPr>
        <w:t>SHEPA PROJECT</w:t>
      </w:r>
    </w:p>
    <w:p w14:paraId="40CB9DA0">
      <w:pPr>
        <w:spacing w:before="0" w:after="80"/>
        <w:jc w:val="center"/>
      </w:pPr>
      <w:r>
        <w:rPr>
          <w:rFonts w:ascii="Arial" w:hAnsi="Arial" w:eastAsia="Arial" w:cs="Arial"/>
          <w:b/>
          <w:bCs/>
          <w:color w:val="2E4057"/>
          <w:sz w:val="34"/>
          <w:szCs w:val="34"/>
        </w:rPr>
        <w:t>HOMER Pro – Data Import Reference Document</w:t>
      </w:r>
    </w:p>
    <w:p w14:paraId="6F936BED">
      <w:pPr>
        <w:spacing w:before="0" w:after="200"/>
        <w:jc w:val="center"/>
      </w:pPr>
      <w:r>
        <w:rPr>
          <w:rFonts w:ascii="Arial" w:hAnsi="Arial" w:eastAsia="Arial" w:cs="Arial"/>
          <w:color w:val="666666"/>
          <w:sz w:val="22"/>
          <w:szCs w:val="22"/>
        </w:rPr>
        <w:t>Central Hub &amp; Borehole System  |  Version 1.0</w:t>
      </w:r>
    </w:p>
    <w:p w14:paraId="1631738D">
      <w:pPr>
        <w:pBdr>
          <w:bottom w:val="single" w:color="1F5C8B" w:sz="6" w:space="1"/>
        </w:pBdr>
        <w:spacing w:before="0" w:after="300"/>
      </w:pPr>
    </w:p>
    <w:p w14:paraId="092C8D24">
      <w:pPr>
        <w:pStyle w:val="2"/>
        <w:spacing w:before="320" w:after="160"/>
      </w:pPr>
      <w:r>
        <w:rPr>
          <w:rFonts w:ascii="Arial" w:hAnsi="Arial" w:eastAsia="Arial" w:cs="Arial"/>
          <w:b/>
          <w:bCs/>
          <w:color w:val="1F5C8B"/>
          <w:sz w:val="28"/>
          <w:szCs w:val="28"/>
        </w:rPr>
        <w:t>1. Purpose of This Document</w:t>
      </w:r>
    </w:p>
    <w:p w14:paraId="2C679F69">
      <w:pPr>
        <w:spacing w:before="60" w:after="60"/>
      </w:pPr>
      <w:r>
        <w:rPr>
          <w:rFonts w:ascii="Arial" w:hAnsi="Arial" w:eastAsia="Arial" w:cs="Arial"/>
          <w:color w:val="1A1A1A"/>
          <w:sz w:val="20"/>
          <w:szCs w:val="20"/>
        </w:rPr>
        <w:t>This document provides all energy load data, design parameters, and system assumptions required to import and configure the Shepa Project in HOMER Pro. It is structured to match HOMER Pro's input categories, allowing direct entry of values during system modelling.</w:t>
      </w:r>
    </w:p>
    <w:p w14:paraId="4A890CED">
      <w:pPr>
        <w:spacing w:before="60" w:after="60"/>
      </w:pPr>
      <w:r>
        <w:rPr>
          <w:rFonts w:ascii="Arial" w:hAnsi="Arial" w:eastAsia="Arial" w:cs="Arial"/>
          <w:color w:val="1A1A1A"/>
          <w:sz w:val="20"/>
          <w:szCs w:val="20"/>
        </w:rPr>
        <w:t>Two separate HOMER Pro models are required:</w:t>
      </w:r>
    </w:p>
    <w:p w14:paraId="68BE6338">
      <w:pPr>
        <w:pStyle w:val="16"/>
        <w:numPr>
          <w:ilvl w:val="0"/>
          <w:numId w:val="1"/>
        </w:numPr>
        <w:spacing w:before="40" w:after="40"/>
      </w:pPr>
      <w:r>
        <w:rPr>
          <w:rFonts w:ascii="Arial" w:hAnsi="Arial" w:eastAsia="Arial" w:cs="Arial"/>
          <w:color w:val="1A1A1A"/>
          <w:sz w:val="19"/>
          <w:szCs w:val="19"/>
        </w:rPr>
        <w:t>Model A – Central Hub (cold storage, hydrogen production, water treatment, controls)</w:t>
      </w:r>
    </w:p>
    <w:p w14:paraId="1FFBD5F9">
      <w:pPr>
        <w:pStyle w:val="16"/>
        <w:numPr>
          <w:ilvl w:val="0"/>
          <w:numId w:val="1"/>
        </w:numPr>
        <w:spacing w:before="40" w:after="40"/>
      </w:pPr>
      <w:r>
        <w:rPr>
          <w:rFonts w:ascii="Arial" w:hAnsi="Arial" w:eastAsia="Arial" w:cs="Arial"/>
          <w:color w:val="1A1A1A"/>
          <w:sz w:val="19"/>
          <w:szCs w:val="19"/>
        </w:rPr>
        <w:t>Model B – Borehole System (one independent model per borehole; replicate 5 times)</w:t>
      </w:r>
    </w:p>
    <w:p w14:paraId="645ACE34">
      <w:pPr>
        <w:spacing w:before="80" w:after="80"/>
      </w:pPr>
    </w:p>
    <w:p w14:paraId="6FE69928">
      <w:pPr>
        <w:pStyle w:val="2"/>
        <w:spacing w:before="320" w:after="160"/>
      </w:pPr>
      <w:r>
        <w:rPr>
          <w:rFonts w:ascii="Arial" w:hAnsi="Arial" w:eastAsia="Arial" w:cs="Arial"/>
          <w:b/>
          <w:bCs/>
          <w:color w:val="1F5C8B"/>
          <w:sz w:val="28"/>
          <w:szCs w:val="28"/>
        </w:rPr>
        <w:t>2. Central Hub – Load Data for HOMER Pro</w:t>
      </w:r>
    </w:p>
    <w:p w14:paraId="10E46E3D">
      <w:pPr>
        <w:pStyle w:val="3"/>
        <w:spacing w:before="200" w:after="120"/>
      </w:pPr>
      <w:r>
        <w:rPr>
          <w:rFonts w:ascii="Arial" w:hAnsi="Arial" w:eastAsia="Arial" w:cs="Arial"/>
          <w:b/>
          <w:bCs/>
          <w:color w:val="2E4057"/>
          <w:sz w:val="22"/>
          <w:szCs w:val="22"/>
        </w:rPr>
        <w:t>2.1  Equipment Load Table</w:t>
      </w:r>
    </w:p>
    <w:p w14:paraId="71DBC1F1">
      <w:pPr>
        <w:spacing w:before="60" w:after="60"/>
      </w:pPr>
      <w:r>
        <w:rPr>
          <w:rFonts w:ascii="Arial" w:hAnsi="Arial" w:eastAsia="Arial" w:cs="Arial"/>
          <w:color w:val="1A1A1A"/>
          <w:sz w:val="20"/>
          <w:szCs w:val="20"/>
        </w:rPr>
        <w:t>Enter each row below as a load component in HOMER Pro. Categorise loads as AC Primary Load or Deferrable Load as indicated.</w:t>
      </w:r>
    </w:p>
    <w:p w14:paraId="42687E0F">
      <w:pPr>
        <w:spacing w:before="80" w:after="8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4"/>
        <w:gridCol w:w="1393"/>
        <w:gridCol w:w="1495"/>
        <w:gridCol w:w="1495"/>
        <w:gridCol w:w="1141"/>
        <w:gridCol w:w="1852"/>
      </w:tblGrid>
      <w:tr w14:paraId="1914E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789A434B">
            <w:pPr>
              <w:jc w:val="center"/>
            </w:pPr>
            <w:r>
              <w:rPr>
                <w:rFonts w:ascii="Arial" w:hAnsi="Arial" w:eastAsia="Arial" w:cs="Arial"/>
                <w:b/>
                <w:bCs/>
                <w:color w:val="FFFFFF"/>
                <w:sz w:val="18"/>
                <w:szCs w:val="18"/>
              </w:rPr>
              <w:t>Equipment / Load Name</w:t>
            </w:r>
          </w:p>
        </w:tc>
        <w:tc>
          <w:tcPr>
            <w:tcW w:w="14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7064F765">
            <w:pPr>
              <w:jc w:val="center"/>
            </w:pPr>
            <w:r>
              <w:rPr>
                <w:rFonts w:ascii="Arial" w:hAnsi="Arial" w:eastAsia="Arial" w:cs="Arial"/>
                <w:b/>
                <w:bCs/>
                <w:color w:val="FFFFFF"/>
                <w:sz w:val="18"/>
                <w:szCs w:val="18"/>
              </w:rPr>
              <w:t>Peak Power (kW)</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4BEFAD9D">
            <w:pPr>
              <w:jc w:val="center"/>
            </w:pPr>
            <w:r>
              <w:rPr>
                <w:rFonts w:ascii="Arial" w:hAnsi="Arial" w:eastAsia="Arial" w:cs="Arial"/>
                <w:b/>
                <w:bCs/>
                <w:color w:val="FFFFFF"/>
                <w:sz w:val="18"/>
                <w:szCs w:val="18"/>
              </w:rPr>
              <w:t>Energy (kWh/day)</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7DB6E00E">
            <w:pPr>
              <w:jc w:val="center"/>
            </w:pPr>
            <w:r>
              <w:rPr>
                <w:rFonts w:ascii="Arial" w:hAnsi="Arial" w:eastAsia="Arial" w:cs="Arial"/>
                <w:b/>
                <w:bCs/>
                <w:color w:val="FFFFFF"/>
                <w:sz w:val="18"/>
                <w:szCs w:val="18"/>
              </w:rPr>
              <w:t>Operation Type</w:t>
            </w:r>
          </w:p>
        </w:tc>
        <w:tc>
          <w:tcPr>
            <w:tcW w:w="11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02B8A7E5">
            <w:pPr>
              <w:jc w:val="center"/>
            </w:pPr>
            <w:r>
              <w:rPr>
                <w:rFonts w:ascii="Arial" w:hAnsi="Arial" w:eastAsia="Arial" w:cs="Arial"/>
                <w:b/>
                <w:bCs/>
                <w:color w:val="FFFFFF"/>
                <w:sz w:val="18"/>
                <w:szCs w:val="18"/>
              </w:rPr>
              <w:t>Hours/Day</w:t>
            </w:r>
          </w:p>
        </w:tc>
        <w:tc>
          <w:tcPr>
            <w:tcW w:w="18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4691FE30">
            <w:pPr>
              <w:jc w:val="center"/>
            </w:pPr>
            <w:r>
              <w:rPr>
                <w:rFonts w:ascii="Arial" w:hAnsi="Arial" w:eastAsia="Arial" w:cs="Arial"/>
                <w:b/>
                <w:bCs/>
                <w:color w:val="FFFFFF"/>
                <w:sz w:val="18"/>
                <w:szCs w:val="18"/>
              </w:rPr>
              <w:t>HOMER Load Category</w:t>
            </w:r>
          </w:p>
        </w:tc>
      </w:tr>
      <w:tr w14:paraId="63D3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7D37297">
            <w:pPr>
              <w:jc w:val="left"/>
            </w:pPr>
            <w:r>
              <w:rPr>
                <w:rFonts w:ascii="Arial" w:hAnsi="Arial" w:eastAsia="Arial" w:cs="Arial"/>
                <w:color w:val="1A1A1A"/>
                <w:sz w:val="18"/>
                <w:szCs w:val="18"/>
              </w:rPr>
              <w:t>Cold Room HVAC (Compressors)</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116B61C">
            <w:pPr>
              <w:jc w:val="center"/>
            </w:pPr>
            <w:r>
              <w:rPr>
                <w:rFonts w:ascii="Arial" w:hAnsi="Arial" w:eastAsia="Arial" w:cs="Arial"/>
                <w:color w:val="1A1A1A"/>
                <w:sz w:val="18"/>
                <w:szCs w:val="18"/>
              </w:rPr>
              <w:t>8.5</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A67D85B">
            <w:pPr>
              <w:jc w:val="center"/>
            </w:pPr>
            <w:r>
              <w:rPr>
                <w:rFonts w:ascii="Arial" w:hAnsi="Arial" w:eastAsia="Arial" w:cs="Arial"/>
                <w:color w:val="1A1A1A"/>
                <w:sz w:val="18"/>
                <w:szCs w:val="18"/>
              </w:rPr>
              <w:t>204</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71D0142">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72A94A8">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A73E2CB">
            <w:pPr>
              <w:jc w:val="center"/>
            </w:pPr>
            <w:r>
              <w:rPr>
                <w:rFonts w:ascii="Arial" w:hAnsi="Arial" w:eastAsia="Arial" w:cs="Arial"/>
                <w:color w:val="1A1A1A"/>
                <w:sz w:val="18"/>
                <w:szCs w:val="18"/>
              </w:rPr>
              <w:t>AC Primary Load</w:t>
            </w:r>
          </w:p>
        </w:tc>
      </w:tr>
      <w:tr w14:paraId="3FEA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11A623D">
            <w:pPr>
              <w:jc w:val="left"/>
            </w:pPr>
            <w:r>
              <w:rPr>
                <w:rFonts w:ascii="Arial" w:hAnsi="Arial" w:eastAsia="Arial" w:cs="Arial"/>
                <w:color w:val="1A1A1A"/>
                <w:sz w:val="18"/>
                <w:szCs w:val="18"/>
              </w:rPr>
              <w:t>Cold Room Fans &amp; Controls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422BB55">
            <w:pPr>
              <w:jc w:val="center"/>
            </w:pPr>
            <w:r>
              <w:rPr>
                <w:rFonts w:ascii="Arial" w:hAnsi="Arial" w:eastAsia="Arial" w:cs="Arial"/>
                <w:color w:val="1A1A1A"/>
                <w:sz w:val="18"/>
                <w:szCs w:val="18"/>
              </w:rPr>
              <w:t>1.5</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4FAE4D1">
            <w:pPr>
              <w:jc w:val="center"/>
            </w:pPr>
            <w:r>
              <w:rPr>
                <w:rFonts w:ascii="Arial" w:hAnsi="Arial" w:eastAsia="Arial" w:cs="Arial"/>
                <w:color w:val="1A1A1A"/>
                <w:sz w:val="18"/>
                <w:szCs w:val="18"/>
              </w:rPr>
              <w:t>36</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EE0CC09">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B32C902">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5818555">
            <w:pPr>
              <w:jc w:val="center"/>
            </w:pPr>
            <w:r>
              <w:rPr>
                <w:rFonts w:ascii="Arial" w:hAnsi="Arial" w:eastAsia="Arial" w:cs="Arial"/>
                <w:color w:val="1A1A1A"/>
                <w:sz w:val="18"/>
                <w:szCs w:val="18"/>
              </w:rPr>
              <w:t>AC Primary Load</w:t>
            </w:r>
          </w:p>
        </w:tc>
      </w:tr>
      <w:tr w14:paraId="49DDC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7FF1F52">
            <w:pPr>
              <w:jc w:val="left"/>
            </w:pPr>
            <w:r>
              <w:rPr>
                <w:rFonts w:ascii="Arial" w:hAnsi="Arial" w:eastAsia="Arial" w:cs="Arial"/>
                <w:color w:val="1A1A1A"/>
                <w:sz w:val="18"/>
                <w:szCs w:val="18"/>
              </w:rPr>
              <w:t>Cold Room Lighting</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ECDC726">
            <w:pPr>
              <w:jc w:val="center"/>
            </w:pPr>
            <w:r>
              <w:rPr>
                <w:rFonts w:ascii="Arial" w:hAnsi="Arial" w:eastAsia="Arial" w:cs="Arial"/>
                <w:color w:val="1A1A1A"/>
                <w:sz w:val="18"/>
                <w:szCs w:val="18"/>
              </w:rPr>
              <w:t>0.5</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87E9C57">
            <w:pPr>
              <w:jc w:val="center"/>
            </w:pPr>
            <w:r>
              <w:rPr>
                <w:rFonts w:ascii="Arial" w:hAnsi="Arial" w:eastAsia="Arial" w:cs="Arial"/>
                <w:color w:val="1A1A1A"/>
                <w:sz w:val="18"/>
                <w:szCs w:val="18"/>
              </w:rPr>
              <w:t>12</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C055FAE">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682EA47">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73CF039">
            <w:pPr>
              <w:jc w:val="center"/>
            </w:pPr>
            <w:r>
              <w:rPr>
                <w:rFonts w:ascii="Arial" w:hAnsi="Arial" w:eastAsia="Arial" w:cs="Arial"/>
                <w:color w:val="1A1A1A"/>
                <w:sz w:val="18"/>
                <w:szCs w:val="18"/>
              </w:rPr>
              <w:t>AC Primary Load</w:t>
            </w:r>
          </w:p>
        </w:tc>
      </w:tr>
      <w:tr w14:paraId="1E0C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EF4D7E9">
            <w:pPr>
              <w:jc w:val="left"/>
            </w:pPr>
            <w:r>
              <w:rPr>
                <w:rFonts w:ascii="Arial" w:hAnsi="Arial" w:eastAsia="Arial" w:cs="Arial"/>
                <w:color w:val="1A1A1A"/>
                <w:sz w:val="18"/>
                <w:szCs w:val="18"/>
              </w:rPr>
              <w:t>Control Room (SCADA, IT, Comms)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E34A778">
            <w:pPr>
              <w:jc w:val="center"/>
            </w:pPr>
            <w:r>
              <w:rPr>
                <w:rFonts w:ascii="Arial" w:hAnsi="Arial" w:eastAsia="Arial" w:cs="Arial"/>
                <w:color w:val="1A1A1A"/>
                <w:sz w:val="18"/>
                <w:szCs w:val="18"/>
              </w:rPr>
              <w:t>0.8</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9A993EB">
            <w:pPr>
              <w:jc w:val="center"/>
            </w:pPr>
            <w:r>
              <w:rPr>
                <w:rFonts w:ascii="Arial" w:hAnsi="Arial" w:eastAsia="Arial" w:cs="Arial"/>
                <w:color w:val="1A1A1A"/>
                <w:sz w:val="18"/>
                <w:szCs w:val="18"/>
              </w:rPr>
              <w:t>19.2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D70B9FE">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0B287B1">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9546DCD">
            <w:pPr>
              <w:jc w:val="center"/>
            </w:pPr>
            <w:r>
              <w:rPr>
                <w:rFonts w:ascii="Arial" w:hAnsi="Arial" w:eastAsia="Arial" w:cs="Arial"/>
                <w:color w:val="1A1A1A"/>
                <w:sz w:val="18"/>
                <w:szCs w:val="18"/>
              </w:rPr>
              <w:t>AC Primary Load</w:t>
            </w:r>
          </w:p>
        </w:tc>
      </w:tr>
      <w:tr w14:paraId="1CC7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2C7609C9">
            <w:pPr>
              <w:jc w:val="left"/>
            </w:pPr>
            <w:r>
              <w:rPr>
                <w:rFonts w:ascii="Arial" w:hAnsi="Arial" w:eastAsia="Arial" w:cs="Arial"/>
                <w:color w:val="1A1A1A"/>
                <w:sz w:val="18"/>
                <w:szCs w:val="18"/>
              </w:rPr>
              <w:t>Hydrogen Auxiliary Systems</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8B1EDE0">
            <w:pPr>
              <w:jc w:val="center"/>
            </w:pPr>
            <w:r>
              <w:rPr>
                <w:rFonts w:ascii="Arial" w:hAnsi="Arial" w:eastAsia="Arial" w:cs="Arial"/>
                <w:color w:val="1A1A1A"/>
                <w:sz w:val="18"/>
                <w:szCs w:val="18"/>
              </w:rPr>
              <w:t>1.0</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5819253">
            <w:pPr>
              <w:jc w:val="center"/>
            </w:pPr>
            <w:r>
              <w:rPr>
                <w:rFonts w:ascii="Arial" w:hAnsi="Arial" w:eastAsia="Arial" w:cs="Arial"/>
                <w:color w:val="1A1A1A"/>
                <w:sz w:val="18"/>
                <w:szCs w:val="18"/>
              </w:rPr>
              <w:t>24</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0BB8553">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26AD131F">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7CABC92">
            <w:pPr>
              <w:jc w:val="center"/>
            </w:pPr>
            <w:r>
              <w:rPr>
                <w:rFonts w:ascii="Arial" w:hAnsi="Arial" w:eastAsia="Arial" w:cs="Arial"/>
                <w:color w:val="1A1A1A"/>
                <w:sz w:val="18"/>
                <w:szCs w:val="18"/>
              </w:rPr>
              <w:t>AC Primary Load</w:t>
            </w:r>
          </w:p>
        </w:tc>
      </w:tr>
      <w:tr w14:paraId="7E60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CEFA26E">
            <w:pPr>
              <w:jc w:val="left"/>
            </w:pPr>
            <w:r>
              <w:rPr>
                <w:rFonts w:ascii="Arial" w:hAnsi="Arial" w:eastAsia="Arial" w:cs="Arial"/>
                <w:color w:val="1A1A1A"/>
                <w:sz w:val="18"/>
                <w:szCs w:val="18"/>
              </w:rPr>
              <w:t>Electrolyzer</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9F80494">
            <w:pPr>
              <w:jc w:val="center"/>
            </w:pPr>
            <w:r>
              <w:rPr>
                <w:rFonts w:ascii="Arial" w:hAnsi="Arial" w:eastAsia="Arial" w:cs="Arial"/>
                <w:color w:val="1A1A1A"/>
                <w:sz w:val="18"/>
                <w:szCs w:val="18"/>
              </w:rPr>
              <w:t>30.0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3B46A81">
            <w:pPr>
              <w:jc w:val="center"/>
            </w:pPr>
            <w:r>
              <w:rPr>
                <w:rFonts w:ascii="Arial" w:hAnsi="Arial" w:eastAsia="Arial" w:cs="Arial"/>
                <w:color w:val="1A1A1A"/>
                <w:sz w:val="18"/>
                <w:szCs w:val="18"/>
              </w:rPr>
              <w:t>240</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49C7317">
            <w:pPr>
              <w:jc w:val="center"/>
            </w:pPr>
            <w:r>
              <w:rPr>
                <w:rFonts w:ascii="Arial" w:hAnsi="Arial" w:eastAsia="Arial" w:cs="Arial"/>
                <w:color w:val="1A1A1A"/>
                <w:sz w:val="18"/>
                <w:szCs w:val="18"/>
              </w:rPr>
              <w:t>Daytime Only</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45252FF">
            <w:pPr>
              <w:jc w:val="center"/>
            </w:pPr>
            <w:r>
              <w:rPr>
                <w:rFonts w:ascii="Arial" w:hAnsi="Arial" w:eastAsia="Arial" w:cs="Arial"/>
                <w:color w:val="1A1A1A"/>
                <w:sz w:val="18"/>
                <w:szCs w:val="18"/>
              </w:rPr>
              <w:t>8</w:t>
            </w: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05E07F8">
            <w:pPr>
              <w:jc w:val="center"/>
            </w:pPr>
            <w:r>
              <w:rPr>
                <w:rFonts w:ascii="Arial" w:hAnsi="Arial" w:eastAsia="Arial" w:cs="Arial"/>
                <w:color w:val="1A1A1A"/>
                <w:sz w:val="18"/>
                <w:szCs w:val="18"/>
              </w:rPr>
              <w:t>Deferrable / AC Primary</w:t>
            </w:r>
          </w:p>
        </w:tc>
      </w:tr>
      <w:tr w14:paraId="463E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0847ADE">
            <w:pPr>
              <w:jc w:val="left"/>
            </w:pPr>
            <w:r>
              <w:rPr>
                <w:rFonts w:ascii="Arial" w:hAnsi="Arial" w:eastAsia="Arial" w:cs="Arial"/>
                <w:color w:val="1A1A1A"/>
                <w:sz w:val="18"/>
                <w:szCs w:val="18"/>
              </w:rPr>
              <w:t>Hydrogen Compressor</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97243CD">
            <w:pPr>
              <w:jc w:val="center"/>
            </w:pPr>
            <w:r>
              <w:rPr>
                <w:rFonts w:ascii="Arial" w:hAnsi="Arial" w:eastAsia="Arial" w:cs="Arial"/>
                <w:color w:val="1A1A1A"/>
                <w:sz w:val="18"/>
                <w:szCs w:val="18"/>
              </w:rPr>
              <w:t>4.0</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43E4B3D">
            <w:pPr>
              <w:jc w:val="center"/>
            </w:pPr>
            <w:r>
              <w:rPr>
                <w:rFonts w:ascii="Arial" w:hAnsi="Arial" w:eastAsia="Arial" w:cs="Arial"/>
                <w:color w:val="1A1A1A"/>
                <w:sz w:val="18"/>
                <w:szCs w:val="18"/>
              </w:rPr>
              <w:t>16</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9AE9445">
            <w:pPr>
              <w:jc w:val="center"/>
            </w:pPr>
            <w:r>
              <w:rPr>
                <w:rFonts w:ascii="Arial" w:hAnsi="Arial" w:eastAsia="Arial" w:cs="Arial"/>
                <w:color w:val="1A1A1A"/>
                <w:sz w:val="18"/>
                <w:szCs w:val="18"/>
              </w:rPr>
              <w:t>Daytime Only</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71ABA0E">
            <w:pPr>
              <w:jc w:val="center"/>
            </w:pPr>
            <w:r>
              <w:rPr>
                <w:rFonts w:ascii="Arial" w:hAnsi="Arial" w:eastAsia="Arial" w:cs="Arial"/>
                <w:color w:val="1A1A1A"/>
                <w:sz w:val="18"/>
                <w:szCs w:val="18"/>
              </w:rPr>
              <w:t>4</w:t>
            </w:r>
          </w:p>
        </w:tc>
        <w:tc>
          <w:tcPr>
            <w:tcW w:w="18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AFA23A2">
            <w:pPr>
              <w:jc w:val="center"/>
            </w:pPr>
            <w:r>
              <w:rPr>
                <w:rFonts w:ascii="Arial" w:hAnsi="Arial" w:eastAsia="Arial" w:cs="Arial"/>
                <w:color w:val="1A1A1A"/>
                <w:sz w:val="18"/>
                <w:szCs w:val="18"/>
              </w:rPr>
              <w:t>Deferrable Load</w:t>
            </w:r>
          </w:p>
        </w:tc>
      </w:tr>
      <w:tr w14:paraId="7BB7D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6CBCF50">
            <w:pPr>
              <w:jc w:val="left"/>
            </w:pPr>
            <w:r>
              <w:rPr>
                <w:rFonts w:ascii="Arial" w:hAnsi="Arial" w:eastAsia="Arial" w:cs="Arial"/>
                <w:color w:val="1A1A1A"/>
                <w:sz w:val="18"/>
                <w:szCs w:val="18"/>
              </w:rPr>
              <w:t>Reverse Osmosis (RO) System</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356C665">
            <w:pPr>
              <w:jc w:val="center"/>
            </w:pPr>
            <w:r>
              <w:rPr>
                <w:rFonts w:ascii="Arial" w:hAnsi="Arial" w:eastAsia="Arial" w:cs="Arial"/>
                <w:color w:val="1A1A1A"/>
                <w:sz w:val="18"/>
                <w:szCs w:val="18"/>
              </w:rPr>
              <w:t>0.1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3BBA80C">
            <w:pPr>
              <w:jc w:val="center"/>
            </w:pPr>
            <w:r>
              <w:rPr>
                <w:rFonts w:ascii="Arial" w:hAnsi="Arial" w:eastAsia="Arial" w:cs="Arial"/>
                <w:color w:val="1A1A1A"/>
                <w:sz w:val="18"/>
                <w:szCs w:val="18"/>
              </w:rPr>
              <w:t>0.8</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409A5D6">
            <w:pPr>
              <w:jc w:val="center"/>
            </w:pPr>
            <w:r>
              <w:rPr>
                <w:rFonts w:ascii="Arial" w:hAnsi="Arial" w:eastAsia="Arial" w:cs="Arial"/>
                <w:color w:val="1A1A1A"/>
                <w:sz w:val="18"/>
                <w:szCs w:val="18"/>
              </w:rPr>
              <w:t>Daytime Only</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404F6F3">
            <w:pPr>
              <w:jc w:val="center"/>
            </w:pPr>
            <w:r>
              <w:rPr>
                <w:rFonts w:ascii="Arial" w:hAnsi="Arial" w:eastAsia="Arial" w:cs="Arial"/>
                <w:color w:val="1A1A1A"/>
                <w:sz w:val="18"/>
                <w:szCs w:val="18"/>
              </w:rPr>
              <w:t>8</w:t>
            </w:r>
          </w:p>
        </w:tc>
        <w:tc>
          <w:tcPr>
            <w:tcW w:w="18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1032559">
            <w:pPr>
              <w:jc w:val="center"/>
            </w:pPr>
            <w:r>
              <w:rPr>
                <w:rFonts w:ascii="Arial" w:hAnsi="Arial" w:eastAsia="Arial" w:cs="Arial"/>
                <w:color w:val="1A1A1A"/>
                <w:sz w:val="18"/>
                <w:szCs w:val="18"/>
              </w:rPr>
              <w:t>Deferrable Load</w:t>
            </w:r>
          </w:p>
        </w:tc>
      </w:tr>
      <w:tr w14:paraId="6855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E3ADB9E">
            <w:pPr>
              <w:jc w:val="left"/>
            </w:pPr>
            <w:r>
              <w:rPr>
                <w:rFonts w:ascii="Arial" w:hAnsi="Arial" w:eastAsia="Arial" w:cs="Arial"/>
                <w:color w:val="1A1A1A"/>
                <w:sz w:val="18"/>
                <w:szCs w:val="18"/>
              </w:rPr>
              <w:t>Atm. Water Generator (AWG)*</w:t>
            </w:r>
          </w:p>
        </w:tc>
        <w:tc>
          <w:tcPr>
            <w:tcW w:w="14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27E45EE7">
            <w:pPr>
              <w:jc w:val="center"/>
            </w:pPr>
            <w:r>
              <w:rPr>
                <w:rFonts w:ascii="Arial" w:hAnsi="Arial" w:eastAsia="Arial" w:cs="Arial"/>
                <w:color w:val="1A1A1A"/>
                <w:sz w:val="18"/>
                <w:szCs w:val="18"/>
              </w:rPr>
              <w:t>1.2</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1674F3E">
            <w:pPr>
              <w:jc w:val="center"/>
            </w:pPr>
            <w:r>
              <w:rPr>
                <w:rFonts w:ascii="Arial" w:hAnsi="Arial" w:eastAsia="Arial" w:cs="Arial"/>
                <w:color w:val="1A1A1A"/>
                <w:sz w:val="18"/>
                <w:szCs w:val="18"/>
              </w:rPr>
              <w:t>28.8</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9DE2ABE">
            <w:pPr>
              <w:jc w:val="center"/>
            </w:pPr>
            <w:r>
              <w:rPr>
                <w:rFonts w:ascii="Arial" w:hAnsi="Arial" w:eastAsia="Arial" w:cs="Arial"/>
                <w:color w:val="1A1A1A"/>
                <w:sz w:val="18"/>
                <w:szCs w:val="18"/>
              </w:rPr>
              <w:t>Seasonal (Rainy)</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F617B1A">
            <w:pPr>
              <w:jc w:val="center"/>
            </w:pPr>
            <w:r>
              <w:rPr>
                <w:rFonts w:ascii="Arial" w:hAnsi="Arial" w:eastAsia="Arial" w:cs="Arial"/>
                <w:color w:val="1A1A1A"/>
                <w:sz w:val="18"/>
                <w:szCs w:val="18"/>
              </w:rPr>
              <w:t>24</w:t>
            </w:r>
          </w:p>
        </w:tc>
        <w:tc>
          <w:tcPr>
            <w:tcW w:w="18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9EACC60">
            <w:pPr>
              <w:jc w:val="center"/>
            </w:pPr>
            <w:r>
              <w:rPr>
                <w:rFonts w:ascii="Arial" w:hAnsi="Arial" w:eastAsia="Arial" w:cs="Arial"/>
                <w:color w:val="1A1A1A"/>
                <w:sz w:val="18"/>
                <w:szCs w:val="18"/>
              </w:rPr>
              <w:t>AC Primary (seasonal)</w:t>
            </w:r>
          </w:p>
        </w:tc>
      </w:tr>
    </w:tbl>
    <w:p w14:paraId="78AE4E38">
      <w:pPr>
        <w:spacing w:before="80" w:after="80"/>
      </w:pPr>
    </w:p>
    <w:p w14:paraId="25155E89">
      <w:pPr>
        <w:spacing w:before="60" w:after="60"/>
      </w:pPr>
      <w:r>
        <w:rPr>
          <w:rFonts w:ascii="Arial" w:hAnsi="Arial" w:eastAsia="Arial" w:cs="Arial"/>
          <w:i/>
          <w:iCs/>
          <w:color w:val="555555"/>
          <w:sz w:val="18"/>
          <w:szCs w:val="18"/>
        </w:rPr>
        <w:t>* AWG (Atmospheric Water Generator): include only in the Rainy Season scenario model. Exclude from the Dry Season model.</w:t>
      </w:r>
    </w:p>
    <w:p w14:paraId="49D7CE14">
      <w:pPr>
        <w:spacing w:before="80" w:after="80"/>
      </w:pPr>
    </w:p>
    <w:p w14:paraId="10208830">
      <w:pPr>
        <w:pStyle w:val="3"/>
        <w:spacing w:before="200" w:after="120"/>
      </w:pPr>
      <w:r>
        <w:rPr>
          <w:rFonts w:ascii="Arial" w:hAnsi="Arial" w:eastAsia="Arial" w:cs="Arial"/>
          <w:b/>
          <w:bCs/>
          <w:color w:val="2E4057"/>
          <w:sz w:val="22"/>
          <w:szCs w:val="22"/>
        </w:rPr>
        <w:t>2.2  Central Hub Daily Energy Summary</w:t>
      </w:r>
    </w:p>
    <w:p w14:paraId="03A59912">
      <w:pPr>
        <w:spacing w:before="60" w:after="60"/>
      </w:pPr>
      <w:r>
        <w:rPr>
          <w:rFonts w:ascii="Arial" w:hAnsi="Arial" w:eastAsia="Arial" w:cs="Arial"/>
          <w:color w:val="1A1A1A"/>
          <w:sz w:val="20"/>
          <w:szCs w:val="20"/>
        </w:rPr>
        <w:t>Use these totals to verify your HOMER load profile after entry. Apply inverter (95%) and battery (85%) loss factors as shown.</w:t>
      </w:r>
    </w:p>
    <w:p w14:paraId="11B1D08B">
      <w:pPr>
        <w:spacing w:before="80" w:after="8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5160"/>
      </w:tblGrid>
      <w:tr w14:paraId="5EAA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5110FC32">
            <w:pPr>
              <w:jc w:val="center"/>
            </w:pPr>
            <w:r>
              <w:rPr>
                <w:rFonts w:ascii="Arial" w:hAnsi="Arial" w:eastAsia="Arial" w:cs="Arial"/>
                <w:b/>
                <w:bCs/>
                <w:color w:val="FFFFFF"/>
                <w:sz w:val="18"/>
                <w:szCs w:val="18"/>
              </w:rPr>
              <w:t>Season</w:t>
            </w:r>
          </w:p>
        </w:tc>
        <w:tc>
          <w:tcPr>
            <w:tcW w:w="30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38A6DE0C">
            <w:pPr>
              <w:jc w:val="center"/>
            </w:pPr>
            <w:r>
              <w:rPr>
                <w:rFonts w:ascii="Arial" w:hAnsi="Arial" w:eastAsia="Arial" w:cs="Arial"/>
                <w:b/>
                <w:bCs/>
                <w:color w:val="FFFFFF"/>
                <w:sz w:val="18"/>
                <w:szCs w:val="18"/>
              </w:rPr>
              <w:t>Raw Energy (kWh/day)</w:t>
            </w:r>
          </w:p>
        </w:tc>
        <w:tc>
          <w:tcPr>
            <w:tcW w:w="51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1A06B578">
            <w:pPr>
              <w:jc w:val="center"/>
            </w:pPr>
            <w:r>
              <w:rPr>
                <w:rFonts w:ascii="Arial" w:hAnsi="Arial" w:eastAsia="Arial" w:cs="Arial"/>
                <w:b/>
                <w:bCs/>
                <w:color w:val="FFFFFF"/>
                <w:sz w:val="18"/>
                <w:szCs w:val="18"/>
              </w:rPr>
              <w:t>Adjusted (with losses) kWh/day</w:t>
            </w:r>
          </w:p>
        </w:tc>
      </w:tr>
      <w:tr w14:paraId="436A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69C08A6">
            <w:pPr>
              <w:jc w:val="left"/>
            </w:pPr>
            <w:r>
              <w:rPr>
                <w:rFonts w:ascii="Arial" w:hAnsi="Arial" w:eastAsia="Arial" w:cs="Arial"/>
                <w:color w:val="1A1A1A"/>
                <w:sz w:val="18"/>
                <w:szCs w:val="18"/>
              </w:rPr>
              <w:t>Dry Season (No AWG)</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42E42FB">
            <w:pPr>
              <w:jc w:val="center"/>
            </w:pPr>
            <w:r>
              <w:rPr>
                <w:rFonts w:ascii="Arial" w:hAnsi="Arial" w:eastAsia="Arial" w:cs="Arial"/>
                <w:color w:val="1A1A1A"/>
                <w:sz w:val="18"/>
                <w:szCs w:val="18"/>
              </w:rPr>
              <w:t>~504</w:t>
            </w:r>
          </w:p>
        </w:tc>
        <w:tc>
          <w:tcPr>
            <w:tcW w:w="51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6796AE8">
            <w:pPr>
              <w:jc w:val="center"/>
            </w:pPr>
            <w:r>
              <w:rPr>
                <w:rFonts w:ascii="Arial" w:hAnsi="Arial" w:eastAsia="Arial" w:cs="Arial"/>
                <w:color w:val="1A1A1A"/>
                <w:sz w:val="18"/>
                <w:szCs w:val="18"/>
              </w:rPr>
              <w:t>~550–600</w:t>
            </w:r>
          </w:p>
        </w:tc>
      </w:tr>
      <w:tr w14:paraId="397D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827D144">
            <w:pPr>
              <w:jc w:val="left"/>
            </w:pPr>
            <w:r>
              <w:rPr>
                <w:rFonts w:ascii="Arial" w:hAnsi="Arial" w:eastAsia="Arial" w:cs="Arial"/>
                <w:color w:val="1A1A1A"/>
                <w:sz w:val="18"/>
                <w:szCs w:val="18"/>
              </w:rPr>
              <w:t>Rainy Season (With AWG)</w:t>
            </w:r>
          </w:p>
        </w:tc>
        <w:tc>
          <w:tcPr>
            <w:tcW w:w="30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7395649">
            <w:pPr>
              <w:jc w:val="center"/>
            </w:pPr>
            <w:r>
              <w:rPr>
                <w:rFonts w:ascii="Arial" w:hAnsi="Arial" w:eastAsia="Arial" w:cs="Arial"/>
                <w:color w:val="1A1A1A"/>
                <w:sz w:val="18"/>
                <w:szCs w:val="18"/>
              </w:rPr>
              <w:t>~533</w:t>
            </w:r>
          </w:p>
        </w:tc>
        <w:tc>
          <w:tcPr>
            <w:tcW w:w="51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DC262D5">
            <w:pPr>
              <w:jc w:val="center"/>
            </w:pPr>
            <w:r>
              <w:rPr>
                <w:rFonts w:ascii="Arial" w:hAnsi="Arial" w:eastAsia="Arial" w:cs="Arial"/>
                <w:color w:val="1A1A1A"/>
                <w:sz w:val="18"/>
                <w:szCs w:val="18"/>
              </w:rPr>
              <w:t>~580–630</w:t>
            </w:r>
          </w:p>
        </w:tc>
      </w:tr>
    </w:tbl>
    <w:p w14:paraId="7523A8FA">
      <w:pPr>
        <w:spacing w:before="80" w:after="80"/>
      </w:pPr>
    </w:p>
    <w:p w14:paraId="715E8D7E">
      <w:pPr>
        <w:pStyle w:val="3"/>
        <w:spacing w:before="200" w:after="120"/>
      </w:pPr>
      <w:r>
        <w:rPr>
          <w:rFonts w:ascii="Arial" w:hAnsi="Arial" w:eastAsia="Arial" w:cs="Arial"/>
          <w:b/>
          <w:bCs/>
          <w:color w:val="2E4057"/>
          <w:sz w:val="22"/>
          <w:szCs w:val="22"/>
        </w:rPr>
        <w:t>2.3  Non-Electrical Components (Include in System Diagram – No kW Load)</w:t>
      </w:r>
    </w:p>
    <w:p w14:paraId="5FE8BDB2">
      <w:pPr>
        <w:spacing w:before="60" w:after="60"/>
      </w:pPr>
      <w:r>
        <w:rPr>
          <w:rFonts w:ascii="Arial" w:hAnsi="Arial" w:eastAsia="Arial" w:cs="Arial"/>
          <w:color w:val="1A1A1A"/>
          <w:sz w:val="20"/>
          <w:szCs w:val="20"/>
        </w:rPr>
        <w:t>The following items must appear in the HOMER system diagram or notes but do not contribute electrical load:</w:t>
      </w:r>
    </w:p>
    <w:p w14:paraId="6F060D1B">
      <w:pPr>
        <w:pStyle w:val="16"/>
        <w:numPr>
          <w:ilvl w:val="0"/>
          <w:numId w:val="1"/>
        </w:numPr>
        <w:spacing w:before="40" w:after="40"/>
      </w:pPr>
      <w:r>
        <w:rPr>
          <w:rFonts w:ascii="Arial" w:hAnsi="Arial" w:eastAsia="Arial" w:cs="Arial"/>
          <w:color w:val="1A1A1A"/>
          <w:sz w:val="19"/>
          <w:szCs w:val="19"/>
        </w:rPr>
        <w:t>Hydrogen storage tanks – 10 to 20 kg capacity</w:t>
      </w:r>
    </w:p>
    <w:p w14:paraId="410FCB4B">
      <w:pPr>
        <w:pStyle w:val="16"/>
        <w:numPr>
          <w:ilvl w:val="0"/>
          <w:numId w:val="1"/>
        </w:numPr>
        <w:spacing w:before="40" w:after="40"/>
      </w:pPr>
      <w:r>
        <w:rPr>
          <w:rFonts w:ascii="Arial" w:hAnsi="Arial" w:eastAsia="Arial" w:cs="Arial"/>
          <w:color w:val="1A1A1A"/>
          <w:sz w:val="19"/>
          <w:szCs w:val="19"/>
        </w:rPr>
        <w:t>Hydrogen and water piping and valves</w:t>
      </w:r>
    </w:p>
    <w:p w14:paraId="70ED1F47">
      <w:pPr>
        <w:pStyle w:val="16"/>
        <w:numPr>
          <w:ilvl w:val="0"/>
          <w:numId w:val="1"/>
        </w:numPr>
        <w:spacing w:before="40" w:after="40"/>
      </w:pPr>
      <w:r>
        <w:rPr>
          <w:rFonts w:ascii="Arial" w:hAnsi="Arial" w:eastAsia="Arial" w:cs="Arial"/>
          <w:color w:val="1A1A1A"/>
          <w:sz w:val="19"/>
          <w:szCs w:val="19"/>
        </w:rPr>
        <w:t>Water storage tank – 200 to 500 L</w:t>
      </w:r>
    </w:p>
    <w:p w14:paraId="4C65FD48">
      <w:pPr>
        <w:pStyle w:val="16"/>
        <w:numPr>
          <w:ilvl w:val="0"/>
          <w:numId w:val="1"/>
        </w:numPr>
        <w:spacing w:before="40" w:after="40"/>
      </w:pPr>
      <w:r>
        <w:rPr>
          <w:rFonts w:ascii="Arial" w:hAnsi="Arial" w:eastAsia="Arial" w:cs="Arial"/>
          <w:color w:val="1A1A1A"/>
          <w:sz w:val="19"/>
          <w:szCs w:val="19"/>
        </w:rPr>
        <w:t>Cold room structural insulation panels</w:t>
      </w:r>
    </w:p>
    <w:p w14:paraId="16934094">
      <w:pPr>
        <w:pStyle w:val="16"/>
        <w:numPr>
          <w:ilvl w:val="0"/>
          <w:numId w:val="1"/>
        </w:numPr>
        <w:spacing w:before="40" w:after="40"/>
      </w:pPr>
      <w:r>
        <w:rPr>
          <w:rFonts w:ascii="Arial" w:hAnsi="Arial" w:eastAsia="Arial" w:cs="Arial"/>
          <w:color w:val="1A1A1A"/>
          <w:sz w:val="19"/>
          <w:szCs w:val="19"/>
        </w:rPr>
        <w:t>Electrical distribution panels</w:t>
      </w:r>
    </w:p>
    <w:p w14:paraId="1E97B767">
      <w:pPr>
        <w:pStyle w:val="16"/>
        <w:numPr>
          <w:ilvl w:val="0"/>
          <w:numId w:val="1"/>
        </w:numPr>
        <w:spacing w:before="40" w:after="40"/>
      </w:pPr>
      <w:r>
        <w:rPr>
          <w:rFonts w:ascii="Arial" w:hAnsi="Arial" w:eastAsia="Arial" w:cs="Arial"/>
          <w:color w:val="1A1A1A"/>
          <w:sz w:val="19"/>
          <w:szCs w:val="19"/>
        </w:rPr>
        <w:t>Safety systems: pressure relief valves, fire suppression</w:t>
      </w:r>
    </w:p>
    <w:p w14:paraId="30D3698C">
      <w:pPr>
        <w:spacing w:before="80" w:after="80"/>
      </w:pPr>
    </w:p>
    <w:p w14:paraId="2CB10274">
      <w:r>
        <w:br w:type="page"/>
      </w:r>
    </w:p>
    <w:p w14:paraId="48D5E69A">
      <w:pPr>
        <w:pStyle w:val="2"/>
        <w:spacing w:before="320" w:after="160"/>
      </w:pPr>
      <w:r>
        <w:rPr>
          <w:rFonts w:ascii="Arial" w:hAnsi="Arial" w:eastAsia="Arial" w:cs="Arial"/>
          <w:b/>
          <w:bCs/>
          <w:color w:val="1F5C8B"/>
          <w:sz w:val="28"/>
          <w:szCs w:val="28"/>
        </w:rPr>
        <w:t>3. Borehole System – Load Data for HOMER Pro (Per Borehole)</w:t>
      </w:r>
    </w:p>
    <w:p w14:paraId="5619DC99">
      <w:pPr>
        <w:pStyle w:val="3"/>
        <w:spacing w:before="200" w:after="120"/>
      </w:pPr>
      <w:r>
        <w:rPr>
          <w:rFonts w:ascii="Arial" w:hAnsi="Arial" w:eastAsia="Arial" w:cs="Arial"/>
          <w:b/>
          <w:bCs/>
          <w:color w:val="2E4057"/>
          <w:sz w:val="22"/>
          <w:szCs w:val="22"/>
        </w:rPr>
        <w:t>3.1  Borehole Equipment Load Table</w:t>
      </w:r>
    </w:p>
    <w:p w14:paraId="6FBF49BC">
      <w:pPr>
        <w:spacing w:before="60" w:after="60"/>
      </w:pPr>
      <w:r>
        <w:rPr>
          <w:rFonts w:ascii="Arial" w:hAnsi="Arial" w:eastAsia="Arial" w:cs="Arial"/>
          <w:color w:val="1A1A1A"/>
          <w:sz w:val="20"/>
          <w:szCs w:val="20"/>
        </w:rPr>
        <w:t>Model one borehole first. Duplicate the HOMER file four times for the remaining boreholes (5 total). Each borehole is an independent DC-coupled or AC-coupled solar pumping system with no battery storage assumed.</w:t>
      </w:r>
    </w:p>
    <w:p w14:paraId="239DDAFA">
      <w:pPr>
        <w:spacing w:before="80" w:after="8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83"/>
        <w:gridCol w:w="1492"/>
        <w:gridCol w:w="1595"/>
        <w:gridCol w:w="1594"/>
        <w:gridCol w:w="1141"/>
        <w:gridCol w:w="1555"/>
      </w:tblGrid>
      <w:tr w14:paraId="0713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55D90376">
            <w:pPr>
              <w:jc w:val="center"/>
            </w:pPr>
            <w:r>
              <w:rPr>
                <w:rFonts w:ascii="Arial" w:hAnsi="Arial" w:eastAsia="Arial" w:cs="Arial"/>
                <w:b/>
                <w:bCs/>
                <w:color w:val="FFFFFF"/>
                <w:sz w:val="18"/>
                <w:szCs w:val="18"/>
              </w:rPr>
              <w:t>Equipment / Load Name</w:t>
            </w:r>
          </w:p>
        </w:tc>
        <w:tc>
          <w:tcPr>
            <w:tcW w:w="1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09DE9DFC">
            <w:pPr>
              <w:jc w:val="center"/>
            </w:pPr>
            <w:r>
              <w:rPr>
                <w:rFonts w:ascii="Arial" w:hAnsi="Arial" w:eastAsia="Arial" w:cs="Arial"/>
                <w:b/>
                <w:bCs/>
                <w:color w:val="FFFFFF"/>
                <w:sz w:val="18"/>
                <w:szCs w:val="18"/>
              </w:rPr>
              <w:t>Peak Power (kW)</w:t>
            </w:r>
          </w:p>
        </w:tc>
        <w:tc>
          <w:tcPr>
            <w:tcW w:w="16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18AACA01">
            <w:pPr>
              <w:jc w:val="center"/>
            </w:pPr>
            <w:r>
              <w:rPr>
                <w:rFonts w:ascii="Arial" w:hAnsi="Arial" w:eastAsia="Arial" w:cs="Arial"/>
                <w:b/>
                <w:bCs/>
                <w:color w:val="FFFFFF"/>
                <w:sz w:val="18"/>
                <w:szCs w:val="18"/>
              </w:rPr>
              <w:t>Energy (kWh/day)</w:t>
            </w:r>
          </w:p>
        </w:tc>
        <w:tc>
          <w:tcPr>
            <w:tcW w:w="16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5581E0B6">
            <w:pPr>
              <w:jc w:val="center"/>
            </w:pPr>
            <w:r>
              <w:rPr>
                <w:rFonts w:ascii="Arial" w:hAnsi="Arial" w:eastAsia="Arial" w:cs="Arial"/>
                <w:b/>
                <w:bCs/>
                <w:color w:val="FFFFFF"/>
                <w:sz w:val="18"/>
                <w:szCs w:val="18"/>
              </w:rPr>
              <w:t>Operation Type</w:t>
            </w:r>
          </w:p>
        </w:tc>
        <w:tc>
          <w:tcPr>
            <w:tcW w:w="11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10E1001F">
            <w:pPr>
              <w:jc w:val="center"/>
            </w:pPr>
            <w:r>
              <w:rPr>
                <w:rFonts w:ascii="Arial" w:hAnsi="Arial" w:eastAsia="Arial" w:cs="Arial"/>
                <w:b/>
                <w:bCs/>
                <w:color w:val="FFFFFF"/>
                <w:sz w:val="18"/>
                <w:szCs w:val="18"/>
              </w:rPr>
              <w:t>Hours/Day</w:t>
            </w:r>
          </w:p>
        </w:tc>
        <w:tc>
          <w:tcPr>
            <w:tcW w:w="15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39624B60">
            <w:pPr>
              <w:jc w:val="center"/>
            </w:pPr>
            <w:r>
              <w:rPr>
                <w:rFonts w:ascii="Arial" w:hAnsi="Arial" w:eastAsia="Arial" w:cs="Arial"/>
                <w:b/>
                <w:bCs/>
                <w:color w:val="FFFFFF"/>
                <w:sz w:val="18"/>
                <w:szCs w:val="18"/>
              </w:rPr>
              <w:t>HOMER Category</w:t>
            </w:r>
          </w:p>
        </w:tc>
      </w:tr>
      <w:tr w14:paraId="3242C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4473E35">
            <w:pPr>
              <w:jc w:val="left"/>
            </w:pPr>
            <w:r>
              <w:rPr>
                <w:rFonts w:ascii="Arial" w:hAnsi="Arial" w:eastAsia="Arial" w:cs="Arial"/>
                <w:color w:val="1A1A1A"/>
                <w:sz w:val="18"/>
                <w:szCs w:val="18"/>
              </w:rPr>
              <w:t>Submersible Water Pump</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E41204F">
            <w:pPr>
              <w:jc w:val="center"/>
            </w:pPr>
            <w:r>
              <w:rPr>
                <w:rFonts w:ascii="Arial" w:hAnsi="Arial" w:eastAsia="Arial" w:cs="Arial"/>
                <w:color w:val="1A1A1A"/>
                <w:sz w:val="18"/>
                <w:szCs w:val="18"/>
              </w:rPr>
              <w:t>5.0</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B8FE2C7">
            <w:pPr>
              <w:jc w:val="center"/>
            </w:pPr>
            <w:r>
              <w:rPr>
                <w:rFonts w:ascii="Arial" w:hAnsi="Arial" w:eastAsia="Arial" w:cs="Arial"/>
                <w:color w:val="1A1A1A"/>
                <w:sz w:val="18"/>
                <w:szCs w:val="18"/>
              </w:rPr>
              <w:t>25</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5BEBCDA">
            <w:pPr>
              <w:jc w:val="center"/>
            </w:pPr>
            <w:r>
              <w:rPr>
                <w:rFonts w:ascii="Arial" w:hAnsi="Arial" w:eastAsia="Arial" w:cs="Arial"/>
                <w:color w:val="1A1A1A"/>
                <w:sz w:val="18"/>
                <w:szCs w:val="18"/>
              </w:rPr>
              <w:t>Daytime Only</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78A0CAB">
            <w:pPr>
              <w:jc w:val="center"/>
            </w:pPr>
            <w:r>
              <w:rPr>
                <w:rFonts w:ascii="Arial" w:hAnsi="Arial" w:eastAsia="Arial" w:cs="Arial"/>
                <w:color w:val="1A1A1A"/>
                <w:sz w:val="18"/>
                <w:szCs w:val="18"/>
              </w:rPr>
              <w:t>5</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89704EE">
            <w:pPr>
              <w:jc w:val="center"/>
            </w:pPr>
            <w:r>
              <w:rPr>
                <w:rFonts w:ascii="Arial" w:hAnsi="Arial" w:eastAsia="Arial" w:cs="Arial"/>
                <w:color w:val="1A1A1A"/>
                <w:sz w:val="18"/>
                <w:szCs w:val="18"/>
              </w:rPr>
              <w:t>Deferrable Load</w:t>
            </w:r>
          </w:p>
        </w:tc>
      </w:tr>
      <w:tr w14:paraId="324B9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86FAB45">
            <w:pPr>
              <w:jc w:val="left"/>
            </w:pPr>
            <w:r>
              <w:rPr>
                <w:rFonts w:ascii="Arial" w:hAnsi="Arial" w:eastAsia="Arial" w:cs="Arial"/>
                <w:color w:val="1A1A1A"/>
                <w:sz w:val="18"/>
                <w:szCs w:val="18"/>
              </w:rPr>
              <w:t>Pump Controller (VFD)</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7320A81">
            <w:pPr>
              <w:jc w:val="center"/>
            </w:pPr>
            <w:r>
              <w:rPr>
                <w:rFonts w:ascii="Arial" w:hAnsi="Arial" w:eastAsia="Arial" w:cs="Arial"/>
                <w:color w:val="1A1A1A"/>
                <w:sz w:val="18"/>
                <w:szCs w:val="18"/>
              </w:rPr>
              <w:t>0.2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9BA4283">
            <w:pPr>
              <w:jc w:val="center"/>
            </w:pPr>
            <w:r>
              <w:rPr>
                <w:rFonts w:ascii="Arial" w:hAnsi="Arial" w:eastAsia="Arial" w:cs="Arial"/>
                <w:color w:val="1A1A1A"/>
                <w:sz w:val="18"/>
                <w:szCs w:val="18"/>
              </w:rPr>
              <w:t>1.0</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2CFF172">
            <w:pPr>
              <w:jc w:val="center"/>
            </w:pPr>
            <w:r>
              <w:rPr>
                <w:rFonts w:ascii="Arial" w:hAnsi="Arial" w:eastAsia="Arial" w:cs="Arial"/>
                <w:color w:val="1A1A1A"/>
                <w:sz w:val="18"/>
                <w:szCs w:val="18"/>
              </w:rPr>
              <w:t>Daytime Only</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836981C">
            <w:pPr>
              <w:jc w:val="center"/>
            </w:pPr>
            <w:r>
              <w:rPr>
                <w:rFonts w:ascii="Arial" w:hAnsi="Arial" w:eastAsia="Arial" w:cs="Arial"/>
                <w:color w:val="1A1A1A"/>
                <w:sz w:val="18"/>
                <w:szCs w:val="18"/>
              </w:rPr>
              <w:t>5</w:t>
            </w:r>
          </w:p>
        </w:tc>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65547BC">
            <w:pPr>
              <w:jc w:val="center"/>
            </w:pPr>
            <w:r>
              <w:rPr>
                <w:rFonts w:ascii="Arial" w:hAnsi="Arial" w:eastAsia="Arial" w:cs="Arial"/>
                <w:color w:val="1A1A1A"/>
                <w:sz w:val="18"/>
                <w:szCs w:val="18"/>
              </w:rPr>
              <w:t>Deferrable Load</w:t>
            </w:r>
          </w:p>
        </w:tc>
      </w:tr>
      <w:tr w14:paraId="0F76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5ABA3AD">
            <w:pPr>
              <w:jc w:val="left"/>
            </w:pPr>
            <w:r>
              <w:rPr>
                <w:rFonts w:ascii="Arial" w:hAnsi="Arial" w:eastAsia="Arial" w:cs="Arial"/>
                <w:color w:val="1A1A1A"/>
                <w:sz w:val="18"/>
                <w:szCs w:val="18"/>
              </w:rPr>
              <w:t>Borehole Monitoring Sensors</w:t>
            </w:r>
          </w:p>
        </w:tc>
        <w:tc>
          <w:tcPr>
            <w:tcW w:w="1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2626A346">
            <w:pPr>
              <w:jc w:val="center"/>
            </w:pPr>
            <w:r>
              <w:rPr>
                <w:rFonts w:ascii="Arial" w:hAnsi="Arial" w:eastAsia="Arial" w:cs="Arial"/>
                <w:color w:val="1A1A1A"/>
                <w:sz w:val="18"/>
                <w:szCs w:val="18"/>
              </w:rPr>
              <w:t>0.05</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2D17311F">
            <w:pPr>
              <w:jc w:val="center"/>
            </w:pPr>
            <w:r>
              <w:rPr>
                <w:rFonts w:ascii="Arial" w:hAnsi="Arial" w:eastAsia="Arial" w:cs="Arial"/>
                <w:color w:val="1A1A1A"/>
                <w:sz w:val="18"/>
                <w:szCs w:val="18"/>
              </w:rPr>
              <w:t>1.2</w:t>
            </w:r>
          </w:p>
        </w:tc>
        <w:tc>
          <w:tcPr>
            <w:tcW w:w="16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E12F536">
            <w:pPr>
              <w:jc w:val="center"/>
            </w:pPr>
            <w:r>
              <w:rPr>
                <w:rFonts w:ascii="Arial" w:hAnsi="Arial" w:eastAsia="Arial" w:cs="Arial"/>
                <w:color w:val="1A1A1A"/>
                <w:sz w:val="18"/>
                <w:szCs w:val="18"/>
              </w:rPr>
              <w:t>24-Hour</w:t>
            </w:r>
          </w:p>
        </w:tc>
        <w:tc>
          <w:tcPr>
            <w:tcW w:w="11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5CF67E0">
            <w:pPr>
              <w:jc w:val="center"/>
            </w:pPr>
            <w:r>
              <w:rPr>
                <w:rFonts w:ascii="Arial" w:hAnsi="Arial" w:eastAsia="Arial" w:cs="Arial"/>
                <w:color w:val="1A1A1A"/>
                <w:sz w:val="18"/>
                <w:szCs w:val="18"/>
              </w:rPr>
              <w:t>24</w:t>
            </w:r>
          </w:p>
        </w:tc>
        <w:tc>
          <w:tcPr>
            <w:tcW w:w="15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55E472D">
            <w:pPr>
              <w:jc w:val="center"/>
            </w:pPr>
            <w:r>
              <w:rPr>
                <w:rFonts w:ascii="Arial" w:hAnsi="Arial" w:eastAsia="Arial" w:cs="Arial"/>
                <w:color w:val="1A1A1A"/>
                <w:sz w:val="18"/>
                <w:szCs w:val="18"/>
              </w:rPr>
              <w:t>AC Primary Load</w:t>
            </w:r>
          </w:p>
        </w:tc>
      </w:tr>
    </w:tbl>
    <w:p w14:paraId="2071E4EA">
      <w:pPr>
        <w:spacing w:before="80" w:after="80"/>
      </w:pPr>
    </w:p>
    <w:p w14:paraId="107919F7">
      <w:pPr>
        <w:pStyle w:val="3"/>
        <w:spacing w:before="200" w:after="120"/>
      </w:pPr>
      <w:r>
        <w:rPr>
          <w:rFonts w:ascii="Arial" w:hAnsi="Arial" w:eastAsia="Arial" w:cs="Arial"/>
          <w:b/>
          <w:bCs/>
          <w:color w:val="2E4057"/>
          <w:sz w:val="22"/>
          <w:szCs w:val="22"/>
        </w:rPr>
        <w:t>3.2  Per-Borehole Energy Total</w:t>
      </w:r>
    </w:p>
    <w:p w14:paraId="6569C7B8">
      <w:pPr>
        <w:pStyle w:val="16"/>
        <w:numPr>
          <w:ilvl w:val="0"/>
          <w:numId w:val="1"/>
        </w:numPr>
        <w:spacing w:before="40" w:after="40"/>
      </w:pPr>
      <w:r>
        <w:rPr>
          <w:rFonts w:ascii="Arial" w:hAnsi="Arial" w:eastAsia="Arial" w:cs="Arial"/>
          <w:color w:val="1A1A1A"/>
          <w:sz w:val="19"/>
          <w:szCs w:val="19"/>
        </w:rPr>
        <w:t>Total energy per borehole: approximately 27 kWh/day</w:t>
      </w:r>
    </w:p>
    <w:p w14:paraId="434BC301">
      <w:pPr>
        <w:pStyle w:val="16"/>
        <w:numPr>
          <w:ilvl w:val="0"/>
          <w:numId w:val="1"/>
        </w:numPr>
        <w:spacing w:before="40" w:after="40"/>
      </w:pPr>
      <w:r>
        <w:rPr>
          <w:rFonts w:ascii="Arial" w:hAnsi="Arial" w:eastAsia="Arial" w:cs="Arial"/>
          <w:color w:val="1A1A1A"/>
          <w:sz w:val="19"/>
          <w:szCs w:val="19"/>
        </w:rPr>
        <w:t>Total energy for all 5 boreholes: approximately 135 kWh/day</w:t>
      </w:r>
    </w:p>
    <w:p w14:paraId="7FF24649">
      <w:pPr>
        <w:pStyle w:val="16"/>
        <w:numPr>
          <w:ilvl w:val="0"/>
          <w:numId w:val="1"/>
        </w:numPr>
        <w:spacing w:before="40" w:after="40"/>
      </w:pPr>
      <w:r>
        <w:rPr>
          <w:rFonts w:ascii="Arial" w:hAnsi="Arial" w:eastAsia="Arial" w:cs="Arial"/>
          <w:color w:val="1A1A1A"/>
          <w:sz w:val="19"/>
          <w:szCs w:val="19"/>
        </w:rPr>
        <w:t>Note: Do not combine borehole loads into the Central Hub HOMER model</w:t>
      </w:r>
    </w:p>
    <w:p w14:paraId="1B779D22">
      <w:pPr>
        <w:spacing w:before="80" w:after="80"/>
      </w:pPr>
    </w:p>
    <w:p w14:paraId="7FEE2E79">
      <w:pPr>
        <w:pStyle w:val="2"/>
        <w:spacing w:before="320" w:after="160"/>
      </w:pPr>
      <w:r>
        <w:rPr>
          <w:rFonts w:ascii="Arial" w:hAnsi="Arial" w:eastAsia="Arial" w:cs="Arial"/>
          <w:b/>
          <w:bCs/>
          <w:color w:val="1F5C8B"/>
          <w:sz w:val="28"/>
          <w:szCs w:val="28"/>
        </w:rPr>
        <w:t>4. Key Design Parameters for HOMER Pro Input</w:t>
      </w:r>
    </w:p>
    <w:p w14:paraId="164912D7">
      <w:pPr>
        <w:spacing w:before="60" w:after="60"/>
      </w:pPr>
      <w:r>
        <w:rPr>
          <w:rFonts w:ascii="Arial" w:hAnsi="Arial" w:eastAsia="Arial" w:cs="Arial"/>
          <w:color w:val="1A1A1A"/>
          <w:sz w:val="20"/>
          <w:szCs w:val="20"/>
        </w:rPr>
        <w:t>Enter the following values in the corresponding HOMER Pro input fields. These parameters are critical for accurate system sizing and optimisation.</w:t>
      </w:r>
    </w:p>
    <w:p w14:paraId="060A4DA3">
      <w:pPr>
        <w:spacing w:before="80" w:after="8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4160"/>
      </w:tblGrid>
      <w:tr w14:paraId="2304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776F1C19">
            <w:pPr>
              <w:jc w:val="center"/>
            </w:pPr>
            <w:r>
              <w:rPr>
                <w:rFonts w:ascii="Arial" w:hAnsi="Arial" w:eastAsia="Arial" w:cs="Arial"/>
                <w:b/>
                <w:bCs/>
                <w:color w:val="FFFFFF"/>
                <w:sz w:val="18"/>
                <w:szCs w:val="18"/>
              </w:rPr>
              <w:t>Parameter</w:t>
            </w:r>
          </w:p>
        </w:tc>
        <w:tc>
          <w:tcPr>
            <w:tcW w:w="2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31F11030">
            <w:pPr>
              <w:jc w:val="center"/>
            </w:pPr>
            <w:r>
              <w:rPr>
                <w:rFonts w:ascii="Arial" w:hAnsi="Arial" w:eastAsia="Arial" w:cs="Arial"/>
                <w:b/>
                <w:bCs/>
                <w:color w:val="FFFFFF"/>
                <w:sz w:val="18"/>
                <w:szCs w:val="18"/>
              </w:rPr>
              <w:t>Value</w:t>
            </w:r>
          </w:p>
        </w:tc>
        <w:tc>
          <w:tcPr>
            <w:tcW w:w="41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0FCB2752">
            <w:pPr>
              <w:jc w:val="center"/>
            </w:pPr>
            <w:r>
              <w:rPr>
                <w:rFonts w:ascii="Arial" w:hAnsi="Arial" w:eastAsia="Arial" w:cs="Arial"/>
                <w:b/>
                <w:bCs/>
                <w:color w:val="FFFFFF"/>
                <w:sz w:val="18"/>
                <w:szCs w:val="18"/>
              </w:rPr>
              <w:t>HOMER Input Location</w:t>
            </w:r>
          </w:p>
        </w:tc>
      </w:tr>
      <w:tr w14:paraId="138FB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7F3CE63">
            <w:pPr>
              <w:jc w:val="left"/>
            </w:pPr>
            <w:r>
              <w:rPr>
                <w:rFonts w:ascii="Arial" w:hAnsi="Arial" w:eastAsia="Arial" w:cs="Arial"/>
                <w:color w:val="1A1A1A"/>
                <w:sz w:val="18"/>
                <w:szCs w:val="18"/>
              </w:rPr>
              <w:t>Solar Peak Hours (PSH)</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2B04369">
            <w:pPr>
              <w:jc w:val="center"/>
            </w:pPr>
            <w:r>
              <w:rPr>
                <w:rFonts w:ascii="Arial" w:hAnsi="Arial" w:eastAsia="Arial" w:cs="Arial"/>
                <w:color w:val="1A1A1A"/>
                <w:sz w:val="18"/>
                <w:szCs w:val="18"/>
              </w:rPr>
              <w:t>5.5 hrs/day</w:t>
            </w:r>
          </w:p>
        </w:tc>
        <w:tc>
          <w:tcPr>
            <w:tcW w:w="41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19EDF1B">
            <w:pPr>
              <w:jc w:val="left"/>
            </w:pPr>
            <w:r>
              <w:rPr>
                <w:rFonts w:ascii="Arial" w:hAnsi="Arial" w:eastAsia="Arial" w:cs="Arial"/>
                <w:color w:val="1A1A1A"/>
                <w:sz w:val="18"/>
                <w:szCs w:val="18"/>
              </w:rPr>
              <w:t>Solar Resource → Location / GHI data</w:t>
            </w:r>
          </w:p>
        </w:tc>
      </w:tr>
      <w:tr w14:paraId="09492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5D0A858">
            <w:pPr>
              <w:jc w:val="left"/>
            </w:pPr>
            <w:r>
              <w:rPr>
                <w:rFonts w:ascii="Arial" w:hAnsi="Arial" w:eastAsia="Arial" w:cs="Arial"/>
                <w:color w:val="1A1A1A"/>
                <w:sz w:val="18"/>
                <w:szCs w:val="18"/>
              </w:rPr>
              <w:t>Battery Round-Trip Efficiency</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6AC6A5B">
            <w:pPr>
              <w:jc w:val="center"/>
            </w:pPr>
            <w:r>
              <w:rPr>
                <w:rFonts w:ascii="Arial" w:hAnsi="Arial" w:eastAsia="Arial" w:cs="Arial"/>
                <w:color w:val="1A1A1A"/>
                <w:sz w:val="18"/>
                <w:szCs w:val="18"/>
              </w:rPr>
              <w:t>85%</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E3EDB44">
            <w:pPr>
              <w:jc w:val="left"/>
            </w:pPr>
            <w:r>
              <w:rPr>
                <w:rFonts w:ascii="Arial" w:hAnsi="Arial" w:eastAsia="Arial" w:cs="Arial"/>
                <w:color w:val="1A1A1A"/>
                <w:sz w:val="18"/>
                <w:szCs w:val="18"/>
              </w:rPr>
              <w:t>Storage → Battery Bank → Efficiency</w:t>
            </w:r>
          </w:p>
        </w:tc>
      </w:tr>
      <w:tr w14:paraId="6DE2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55A9A4A2">
            <w:pPr>
              <w:jc w:val="left"/>
            </w:pPr>
            <w:r>
              <w:rPr>
                <w:rFonts w:ascii="Arial" w:hAnsi="Arial" w:eastAsia="Arial" w:cs="Arial"/>
                <w:color w:val="1A1A1A"/>
                <w:sz w:val="18"/>
                <w:szCs w:val="18"/>
              </w:rPr>
              <w:t>Inverter Efficiency</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39BF034">
            <w:pPr>
              <w:jc w:val="center"/>
            </w:pPr>
            <w:r>
              <w:rPr>
                <w:rFonts w:ascii="Arial" w:hAnsi="Arial" w:eastAsia="Arial" w:cs="Arial"/>
                <w:color w:val="1A1A1A"/>
                <w:sz w:val="18"/>
                <w:szCs w:val="18"/>
              </w:rPr>
              <w:t>95%</w:t>
            </w:r>
          </w:p>
        </w:tc>
        <w:tc>
          <w:tcPr>
            <w:tcW w:w="41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CCAFE49">
            <w:pPr>
              <w:jc w:val="left"/>
            </w:pPr>
            <w:r>
              <w:rPr>
                <w:rFonts w:ascii="Arial" w:hAnsi="Arial" w:eastAsia="Arial" w:cs="Arial"/>
                <w:color w:val="1A1A1A"/>
                <w:sz w:val="18"/>
                <w:szCs w:val="18"/>
              </w:rPr>
              <w:t>Converter → Efficiency setting</w:t>
            </w:r>
          </w:p>
        </w:tc>
      </w:tr>
      <w:tr w14:paraId="5AED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5A80CE5">
            <w:pPr>
              <w:jc w:val="left"/>
            </w:pPr>
            <w:r>
              <w:rPr>
                <w:rFonts w:ascii="Arial" w:hAnsi="Arial" w:eastAsia="Arial" w:cs="Arial"/>
                <w:color w:val="1A1A1A"/>
                <w:sz w:val="18"/>
                <w:szCs w:val="18"/>
              </w:rPr>
              <w:t>Hydrogen Production Target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52BB6F7">
            <w:pPr>
              <w:jc w:val="center"/>
            </w:pPr>
            <w:r>
              <w:rPr>
                <w:rFonts w:ascii="Arial" w:hAnsi="Arial" w:eastAsia="Arial" w:cs="Arial"/>
                <w:color w:val="1A1A1A"/>
                <w:sz w:val="18"/>
                <w:szCs w:val="18"/>
              </w:rPr>
              <w:t>~5 kg/day</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5B494E30">
            <w:pPr>
              <w:jc w:val="left"/>
            </w:pPr>
            <w:r>
              <w:rPr>
                <w:rFonts w:ascii="Arial" w:hAnsi="Arial" w:eastAsia="Arial" w:cs="Arial"/>
                <w:color w:val="1A1A1A"/>
                <w:sz w:val="18"/>
                <w:szCs w:val="18"/>
              </w:rPr>
              <w:t>Electrolyzer component sizing</w:t>
            </w:r>
          </w:p>
        </w:tc>
      </w:tr>
      <w:tr w14:paraId="09F7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E124770">
            <w:pPr>
              <w:jc w:val="left"/>
            </w:pPr>
            <w:r>
              <w:rPr>
                <w:rFonts w:ascii="Arial" w:hAnsi="Arial" w:eastAsia="Arial" w:cs="Arial"/>
                <w:color w:val="1A1A1A"/>
                <w:sz w:val="18"/>
                <w:szCs w:val="18"/>
              </w:rPr>
              <w:t>Total Daily Head (TDH)</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7E9AC5F">
            <w:pPr>
              <w:jc w:val="center"/>
            </w:pPr>
            <w:r>
              <w:rPr>
                <w:rFonts w:ascii="Arial" w:hAnsi="Arial" w:eastAsia="Arial" w:cs="Arial"/>
                <w:color w:val="1A1A1A"/>
                <w:sz w:val="18"/>
                <w:szCs w:val="18"/>
              </w:rPr>
              <w:t>~100 m</w:t>
            </w:r>
          </w:p>
        </w:tc>
        <w:tc>
          <w:tcPr>
            <w:tcW w:w="41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B7104DF">
            <w:pPr>
              <w:jc w:val="left"/>
            </w:pPr>
            <w:r>
              <w:rPr>
                <w:rFonts w:ascii="Arial" w:hAnsi="Arial" w:eastAsia="Arial" w:cs="Arial"/>
                <w:color w:val="1A1A1A"/>
                <w:sz w:val="18"/>
                <w:szCs w:val="18"/>
              </w:rPr>
              <w:t>Pump load / deferrable load sizing</w:t>
            </w:r>
          </w:p>
        </w:tc>
      </w:tr>
      <w:tr w14:paraId="170F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1C67D18">
            <w:pPr>
              <w:jc w:val="left"/>
            </w:pPr>
            <w:r>
              <w:rPr>
                <w:rFonts w:ascii="Arial" w:hAnsi="Arial" w:eastAsia="Arial" w:cs="Arial"/>
                <w:color w:val="1A1A1A"/>
                <w:sz w:val="18"/>
                <w:szCs w:val="18"/>
              </w:rPr>
              <w:t>Battery Night Storage Requirement</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E585D1E">
            <w:pPr>
              <w:jc w:val="center"/>
            </w:pPr>
            <w:r>
              <w:rPr>
                <w:rFonts w:ascii="Arial" w:hAnsi="Arial" w:eastAsia="Arial" w:cs="Arial"/>
                <w:color w:val="1A1A1A"/>
                <w:sz w:val="18"/>
                <w:szCs w:val="18"/>
              </w:rPr>
              <w:t>~180–200 kWh</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3B261C83">
            <w:pPr>
              <w:jc w:val="left"/>
            </w:pPr>
            <w:r>
              <w:rPr>
                <w:rFonts w:ascii="Arial" w:hAnsi="Arial" w:eastAsia="Arial" w:cs="Arial"/>
                <w:color w:val="1A1A1A"/>
                <w:sz w:val="18"/>
                <w:szCs w:val="18"/>
              </w:rPr>
              <w:t>Battery capacity (storage) setting</w:t>
            </w:r>
          </w:p>
        </w:tc>
      </w:tr>
      <w:tr w14:paraId="4139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6C8A1BBD">
            <w:pPr>
              <w:jc w:val="left"/>
            </w:pPr>
            <w:r>
              <w:rPr>
                <w:rFonts w:ascii="Arial" w:hAnsi="Arial" w:eastAsia="Arial" w:cs="Arial"/>
                <w:color w:val="1A1A1A"/>
                <w:sz w:val="18"/>
                <w:szCs w:val="18"/>
              </w:rPr>
              <w:t>24-Hour Critical Loads (Hub)</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CA12DE2">
            <w:pPr>
              <w:jc w:val="center"/>
            </w:pPr>
            <w:r>
              <w:rPr>
                <w:rFonts w:ascii="Arial" w:hAnsi="Arial" w:eastAsia="Arial" w:cs="Arial"/>
                <w:color w:val="1A1A1A"/>
                <w:sz w:val="18"/>
                <w:szCs w:val="18"/>
              </w:rPr>
              <w:t>~295 kWh/day</w:t>
            </w:r>
          </w:p>
        </w:tc>
        <w:tc>
          <w:tcPr>
            <w:tcW w:w="41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A0942A3">
            <w:pPr>
              <w:jc w:val="left"/>
            </w:pPr>
            <w:r>
              <w:rPr>
                <w:rFonts w:ascii="Arial" w:hAnsi="Arial" w:eastAsia="Arial" w:cs="Arial"/>
                <w:color w:val="1A1A1A"/>
                <w:sz w:val="18"/>
                <w:szCs w:val="18"/>
              </w:rPr>
              <w:t>AC Primary Load profile</w:t>
            </w:r>
          </w:p>
        </w:tc>
      </w:tr>
      <w:tr w14:paraId="72E0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65BE0239">
            <w:pPr>
              <w:jc w:val="left"/>
            </w:pPr>
            <w:r>
              <w:rPr>
                <w:rFonts w:ascii="Arial" w:hAnsi="Arial" w:eastAsia="Arial" w:cs="Arial"/>
                <w:color w:val="1A1A1A"/>
                <w:sz w:val="18"/>
                <w:szCs w:val="18"/>
              </w:rPr>
              <w:t>Daytime Operational Loads (Hub)</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1E8CB523">
            <w:pPr>
              <w:jc w:val="center"/>
            </w:pPr>
            <w:r>
              <w:rPr>
                <w:rFonts w:ascii="Arial" w:hAnsi="Arial" w:eastAsia="Arial" w:cs="Arial"/>
                <w:color w:val="1A1A1A"/>
                <w:sz w:val="18"/>
                <w:szCs w:val="18"/>
              </w:rPr>
              <w:t>~257 kWh/day</w:t>
            </w:r>
          </w:p>
        </w:tc>
        <w:tc>
          <w:tcPr>
            <w:tcW w:w="41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1969E7A">
            <w:pPr>
              <w:jc w:val="left"/>
            </w:pPr>
            <w:r>
              <w:rPr>
                <w:rFonts w:ascii="Arial" w:hAnsi="Arial" w:eastAsia="Arial" w:cs="Arial"/>
                <w:color w:val="1A1A1A"/>
                <w:sz w:val="18"/>
                <w:szCs w:val="18"/>
              </w:rPr>
              <w:t>Deferrable Load / AC primary (daytime)</w:t>
            </w:r>
          </w:p>
        </w:tc>
      </w:tr>
    </w:tbl>
    <w:p w14:paraId="246325E2">
      <w:pPr>
        <w:spacing w:before="80" w:after="80"/>
      </w:pPr>
    </w:p>
    <w:p w14:paraId="31F72D8E">
      <w:pPr>
        <w:pStyle w:val="2"/>
        <w:spacing w:before="320" w:after="160"/>
      </w:pPr>
      <w:r>
        <w:rPr>
          <w:rFonts w:ascii="Arial" w:hAnsi="Arial" w:eastAsia="Arial" w:cs="Arial"/>
          <w:b/>
          <w:bCs/>
          <w:color w:val="1F5C8B"/>
          <w:sz w:val="28"/>
          <w:szCs w:val="28"/>
        </w:rPr>
        <w:t>5. Total System Energy Summary</w:t>
      </w:r>
    </w:p>
    <w:p w14:paraId="7FF60F2B">
      <w:pPr>
        <w:spacing w:before="60" w:after="60"/>
      </w:pPr>
      <w:r>
        <w:rPr>
          <w:rFonts w:ascii="Arial" w:hAnsi="Arial" w:eastAsia="Arial" w:cs="Arial"/>
          <w:color w:val="1A1A1A"/>
          <w:sz w:val="20"/>
          <w:szCs w:val="20"/>
        </w:rPr>
        <w:t>Use this table to cross-check your HOMER model outputs against expected project-level totals.</w:t>
      </w:r>
    </w:p>
    <w:p w14:paraId="71B39943">
      <w:pPr>
        <w:spacing w:before="80" w:after="80"/>
      </w:pPr>
    </w:p>
    <w:tbl>
      <w:tblPr>
        <w:tblStyle w:val="9"/>
        <w:tblW w:w="101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500"/>
        <w:gridCol w:w="4460"/>
      </w:tblGrid>
      <w:tr w14:paraId="0B9BF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4E8EAA15">
            <w:pPr>
              <w:jc w:val="center"/>
            </w:pPr>
            <w:r>
              <w:rPr>
                <w:rFonts w:ascii="Arial" w:hAnsi="Arial" w:eastAsia="Arial" w:cs="Arial"/>
                <w:b/>
                <w:bCs/>
                <w:color w:val="FFFFFF"/>
                <w:sz w:val="18"/>
                <w:szCs w:val="18"/>
              </w:rPr>
              <w:t>System / Sub-System</w:t>
            </w:r>
          </w:p>
        </w:tc>
        <w:tc>
          <w:tcPr>
            <w:tcW w:w="250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0C9D0FB0">
            <w:pPr>
              <w:jc w:val="center"/>
            </w:pPr>
            <w:r>
              <w:rPr>
                <w:rFonts w:ascii="Arial" w:hAnsi="Arial" w:eastAsia="Arial" w:cs="Arial"/>
                <w:b/>
                <w:bCs/>
                <w:color w:val="FFFFFF"/>
                <w:sz w:val="18"/>
                <w:szCs w:val="18"/>
              </w:rPr>
              <w:t>Energy (kWh/day)</w:t>
            </w:r>
          </w:p>
        </w:tc>
        <w:tc>
          <w:tcPr>
            <w:tcW w:w="4460" w:type="dxa"/>
            <w:tcBorders>
              <w:top w:val="single" w:color="1F5C8B" w:sz="0" w:space="0"/>
              <w:left w:val="single" w:color="1F5C8B" w:sz="0" w:space="0"/>
              <w:bottom w:val="single" w:color="1F5C8B" w:sz="0" w:space="0"/>
              <w:right w:val="single" w:color="1F5C8B" w:sz="0" w:space="0"/>
            </w:tcBorders>
            <w:shd w:val="clear" w:color="auto" w:fill="1F5C8B"/>
            <w:tcMar>
              <w:top w:w="80" w:type="dxa"/>
              <w:left w:w="120" w:type="dxa"/>
              <w:bottom w:w="80" w:type="dxa"/>
              <w:right w:w="120" w:type="dxa"/>
            </w:tcMar>
            <w:vAlign w:val="center"/>
          </w:tcPr>
          <w:p w14:paraId="1812B55F">
            <w:pPr>
              <w:jc w:val="center"/>
            </w:pPr>
            <w:r>
              <w:rPr>
                <w:rFonts w:ascii="Arial" w:hAnsi="Arial" w:eastAsia="Arial" w:cs="Arial"/>
                <w:b/>
                <w:bCs/>
                <w:color w:val="FFFFFF"/>
                <w:sz w:val="18"/>
                <w:szCs w:val="18"/>
              </w:rPr>
              <w:t>Key Note</w:t>
            </w:r>
          </w:p>
        </w:tc>
      </w:tr>
      <w:tr w14:paraId="5104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866426D">
            <w:pPr>
              <w:jc w:val="left"/>
            </w:pPr>
            <w:r>
              <w:rPr>
                <w:rFonts w:ascii="Arial" w:hAnsi="Arial" w:eastAsia="Arial" w:cs="Arial"/>
                <w:color w:val="1A1A1A"/>
                <w:sz w:val="18"/>
                <w:szCs w:val="18"/>
              </w:rPr>
              <w:t>Central Hub (Dry Season)</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7254287B">
            <w:pPr>
              <w:jc w:val="center"/>
            </w:pPr>
            <w:r>
              <w:rPr>
                <w:rFonts w:ascii="Arial" w:hAnsi="Arial" w:eastAsia="Arial" w:cs="Arial"/>
                <w:color w:val="1A1A1A"/>
                <w:sz w:val="18"/>
                <w:szCs w:val="18"/>
              </w:rPr>
              <w:t>550–600</w:t>
            </w:r>
          </w:p>
        </w:tc>
        <w:tc>
          <w:tcPr>
            <w:tcW w:w="44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B086389">
            <w:pPr>
              <w:jc w:val="left"/>
            </w:pPr>
            <w:r>
              <w:rPr>
                <w:rFonts w:ascii="Arial" w:hAnsi="Arial" w:eastAsia="Arial" w:cs="Arial"/>
                <w:color w:val="1A1A1A"/>
                <w:sz w:val="18"/>
                <w:szCs w:val="18"/>
              </w:rPr>
              <w:t>Exclude AWG in HOMER dry season model</w:t>
            </w:r>
          </w:p>
        </w:tc>
      </w:tr>
      <w:tr w14:paraId="1CAA1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CD9E687">
            <w:pPr>
              <w:jc w:val="left"/>
            </w:pPr>
            <w:r>
              <w:rPr>
                <w:rFonts w:ascii="Arial" w:hAnsi="Arial" w:eastAsia="Arial" w:cs="Arial"/>
                <w:color w:val="1A1A1A"/>
                <w:sz w:val="18"/>
                <w:szCs w:val="18"/>
              </w:rPr>
              <w:t>Central Hub (Rainy Season)</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25898484">
            <w:pPr>
              <w:jc w:val="center"/>
            </w:pPr>
            <w:r>
              <w:rPr>
                <w:rFonts w:ascii="Arial" w:hAnsi="Arial" w:eastAsia="Arial" w:cs="Arial"/>
                <w:color w:val="1A1A1A"/>
                <w:sz w:val="18"/>
                <w:szCs w:val="18"/>
              </w:rPr>
              <w:t>580–630</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02C7811A">
            <w:pPr>
              <w:jc w:val="left"/>
            </w:pPr>
            <w:r>
              <w:rPr>
                <w:rFonts w:ascii="Arial" w:hAnsi="Arial" w:eastAsia="Arial" w:cs="Arial"/>
                <w:color w:val="1A1A1A"/>
                <w:sz w:val="18"/>
                <w:szCs w:val="18"/>
              </w:rPr>
              <w:t>Include AWG as seasonal load</w:t>
            </w:r>
          </w:p>
        </w:tc>
      </w:tr>
      <w:tr w14:paraId="4572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FAE8000">
            <w:pPr>
              <w:jc w:val="left"/>
            </w:pPr>
            <w:r>
              <w:rPr>
                <w:rFonts w:ascii="Arial" w:hAnsi="Arial" w:eastAsia="Arial" w:cs="Arial"/>
                <w:color w:val="1A1A1A"/>
                <w:sz w:val="18"/>
                <w:szCs w:val="18"/>
              </w:rPr>
              <w:t>Borehole System (per borehole)</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055F2484">
            <w:pPr>
              <w:jc w:val="center"/>
            </w:pPr>
            <w:r>
              <w:rPr>
                <w:rFonts w:ascii="Arial" w:hAnsi="Arial" w:eastAsia="Arial" w:cs="Arial"/>
                <w:color w:val="1A1A1A"/>
                <w:sz w:val="18"/>
                <w:szCs w:val="18"/>
              </w:rPr>
              <w:t>~27</w:t>
            </w:r>
          </w:p>
        </w:tc>
        <w:tc>
          <w:tcPr>
            <w:tcW w:w="44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3AB6C361">
            <w:pPr>
              <w:jc w:val="left"/>
            </w:pPr>
            <w:r>
              <w:rPr>
                <w:rFonts w:ascii="Arial" w:hAnsi="Arial" w:eastAsia="Arial" w:cs="Arial"/>
                <w:color w:val="1A1A1A"/>
                <w:sz w:val="18"/>
                <w:szCs w:val="18"/>
              </w:rPr>
              <w:t>Model independently in separate HOMER file</w:t>
            </w:r>
          </w:p>
        </w:tc>
      </w:tr>
      <w:tr w14:paraId="01E08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E803842">
            <w:pPr>
              <w:jc w:val="left"/>
            </w:pPr>
            <w:r>
              <w:rPr>
                <w:rFonts w:ascii="Arial" w:hAnsi="Arial" w:eastAsia="Arial" w:cs="Arial"/>
                <w:color w:val="1A1A1A"/>
                <w:sz w:val="18"/>
                <w:szCs w:val="18"/>
              </w:rPr>
              <w:t>5 Boreholes (total)</w:t>
            </w:r>
          </w:p>
        </w:tc>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7C2FE100">
            <w:pPr>
              <w:jc w:val="center"/>
            </w:pPr>
            <w:r>
              <w:rPr>
                <w:rFonts w:ascii="Arial" w:hAnsi="Arial" w:eastAsia="Arial" w:cs="Arial"/>
                <w:color w:val="1A1A1A"/>
                <w:sz w:val="18"/>
                <w:szCs w:val="18"/>
              </w:rPr>
              <w:t>~135</w:t>
            </w:r>
          </w:p>
        </w:tc>
        <w:tc>
          <w:tcPr>
            <w:tcW w:w="4460" w:type="dxa"/>
            <w:tcBorders>
              <w:top w:val="single" w:color="AAAAAA" w:sz="0" w:space="0"/>
              <w:left w:val="single" w:color="AAAAAA" w:sz="0" w:space="0"/>
              <w:bottom w:val="single" w:color="AAAAAA" w:sz="0" w:space="0"/>
              <w:right w:val="single" w:color="AAAAAA" w:sz="0" w:space="0"/>
            </w:tcBorders>
            <w:shd w:val="clear" w:color="auto" w:fill="FFFFFF"/>
            <w:tcMar>
              <w:top w:w="70" w:type="dxa"/>
              <w:left w:w="120" w:type="dxa"/>
              <w:bottom w:w="70" w:type="dxa"/>
              <w:right w:w="120" w:type="dxa"/>
            </w:tcMar>
          </w:tcPr>
          <w:p w14:paraId="4597BFB5">
            <w:pPr>
              <w:jc w:val="left"/>
            </w:pPr>
            <w:r>
              <w:rPr>
                <w:rFonts w:ascii="Arial" w:hAnsi="Arial" w:eastAsia="Arial" w:cs="Arial"/>
                <w:color w:val="1A1A1A"/>
                <w:sz w:val="18"/>
                <w:szCs w:val="18"/>
              </w:rPr>
              <w:t>Sum of all 5 independent systems</w:t>
            </w:r>
          </w:p>
        </w:tc>
      </w:tr>
      <w:tr w14:paraId="77DDE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2FD8A45">
            <w:pPr>
              <w:jc w:val="left"/>
            </w:pPr>
            <w:r>
              <w:rPr>
                <w:rFonts w:ascii="Arial" w:hAnsi="Arial" w:eastAsia="Arial" w:cs="Arial"/>
                <w:color w:val="1A1A1A"/>
                <w:sz w:val="18"/>
                <w:szCs w:val="18"/>
              </w:rPr>
              <w:t>Grand Total (Dry Season)</w:t>
            </w:r>
          </w:p>
        </w:tc>
        <w:tc>
          <w:tcPr>
            <w:tcW w:w="250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444C1FBB">
            <w:pPr>
              <w:jc w:val="center"/>
            </w:pPr>
            <w:r>
              <w:rPr>
                <w:rFonts w:ascii="Arial" w:hAnsi="Arial" w:eastAsia="Arial" w:cs="Arial"/>
                <w:color w:val="1A1A1A"/>
                <w:sz w:val="18"/>
                <w:szCs w:val="18"/>
              </w:rPr>
              <w:t>~685–735</w:t>
            </w:r>
          </w:p>
        </w:tc>
        <w:tc>
          <w:tcPr>
            <w:tcW w:w="4460" w:type="dxa"/>
            <w:tcBorders>
              <w:top w:val="single" w:color="AAAAAA" w:sz="0" w:space="0"/>
              <w:left w:val="single" w:color="AAAAAA" w:sz="0" w:space="0"/>
              <w:bottom w:val="single" w:color="AAAAAA" w:sz="0" w:space="0"/>
              <w:right w:val="single" w:color="AAAAAA" w:sz="0" w:space="0"/>
            </w:tcBorders>
            <w:shd w:val="clear" w:color="auto" w:fill="F5F5F5"/>
            <w:tcMar>
              <w:top w:w="70" w:type="dxa"/>
              <w:left w:w="120" w:type="dxa"/>
              <w:bottom w:w="70" w:type="dxa"/>
              <w:right w:w="120" w:type="dxa"/>
            </w:tcMar>
          </w:tcPr>
          <w:p w14:paraId="1B193845">
            <w:pPr>
              <w:jc w:val="left"/>
            </w:pPr>
            <w:r>
              <w:rPr>
                <w:rFonts w:ascii="Arial" w:hAnsi="Arial" w:eastAsia="Arial" w:cs="Arial"/>
                <w:color w:val="1A1A1A"/>
                <w:sz w:val="18"/>
                <w:szCs w:val="18"/>
              </w:rPr>
              <w:t>Central Hub + all 5 Boreholes</w:t>
            </w:r>
          </w:p>
        </w:tc>
      </w:tr>
    </w:tbl>
    <w:p w14:paraId="5FA91DCC">
      <w:pPr>
        <w:spacing w:before="80" w:after="80"/>
      </w:pPr>
    </w:p>
    <w:p w14:paraId="476D74F8">
      <w:pPr>
        <w:pStyle w:val="2"/>
        <w:spacing w:before="320" w:after="160"/>
      </w:pPr>
      <w:r>
        <w:rPr>
          <w:rFonts w:ascii="Arial" w:hAnsi="Arial" w:eastAsia="Arial" w:cs="Arial"/>
          <w:b/>
          <w:bCs/>
          <w:color w:val="1F5C8B"/>
          <w:sz w:val="28"/>
          <w:szCs w:val="28"/>
        </w:rPr>
        <w:t>6. Critical Modelling Notes</w:t>
      </w:r>
    </w:p>
    <w:p w14:paraId="3B56A5C2">
      <w:pPr>
        <w:pStyle w:val="16"/>
        <w:numPr>
          <w:ilvl w:val="0"/>
          <w:numId w:val="1"/>
        </w:numPr>
        <w:spacing w:before="40" w:after="40"/>
      </w:pPr>
      <w:r>
        <w:rPr>
          <w:rFonts w:ascii="Arial" w:hAnsi="Arial" w:eastAsia="Arial" w:cs="Arial"/>
          <w:color w:val="1A1A1A"/>
          <w:sz w:val="19"/>
          <w:szCs w:val="19"/>
        </w:rPr>
        <w:t>The hydrogen system (electrolyzer + compressor) accounts for approximately 50% of total hub energy. Ensure it is correctly categorised as a deferrable or primary load based on your dispatch strategy.</w:t>
      </w:r>
    </w:p>
    <w:p w14:paraId="23DF6E34">
      <w:pPr>
        <w:pStyle w:val="16"/>
        <w:numPr>
          <w:ilvl w:val="0"/>
          <w:numId w:val="1"/>
        </w:numPr>
        <w:spacing w:before="40" w:after="40"/>
      </w:pPr>
      <w:r>
        <w:rPr>
          <w:rFonts w:ascii="Arial" w:hAnsi="Arial" w:eastAsia="Arial" w:cs="Arial"/>
          <w:color w:val="1A1A1A"/>
          <w:sz w:val="19"/>
          <w:szCs w:val="19"/>
        </w:rPr>
        <w:t>Battery storage must be sized for night-time critical loads: target 180 to 200 kWh usable capacity. Apply second-life battery efficiency of 85% when sizing.</w:t>
      </w:r>
    </w:p>
    <w:p w14:paraId="5B69C30A">
      <w:pPr>
        <w:pStyle w:val="16"/>
        <w:numPr>
          <w:ilvl w:val="0"/>
          <w:numId w:val="1"/>
        </w:numPr>
        <w:spacing w:before="40" w:after="40"/>
      </w:pPr>
      <w:r>
        <w:rPr>
          <w:rFonts w:ascii="Arial" w:hAnsi="Arial" w:eastAsia="Arial" w:cs="Arial"/>
          <w:color w:val="1A1A1A"/>
          <w:sz w:val="19"/>
          <w:szCs w:val="19"/>
        </w:rPr>
        <w:t>Model dry season and rainy season as two separate HOMER scenarios to capture AWG impact.</w:t>
      </w:r>
    </w:p>
    <w:p w14:paraId="21833A24">
      <w:pPr>
        <w:pStyle w:val="16"/>
        <w:numPr>
          <w:ilvl w:val="0"/>
          <w:numId w:val="1"/>
        </w:numPr>
        <w:spacing w:before="40" w:after="40"/>
      </w:pPr>
      <w:r>
        <w:rPr>
          <w:rFonts w:ascii="Arial" w:hAnsi="Arial" w:eastAsia="Arial" w:cs="Arial"/>
          <w:color w:val="1A1A1A"/>
          <w:sz w:val="19"/>
          <w:szCs w:val="19"/>
        </w:rPr>
        <w:t>Borehole systems must be modelled independently – do not aggregate into the central hub model.</w:t>
      </w:r>
    </w:p>
    <w:p w14:paraId="4B02EB48">
      <w:pPr>
        <w:pStyle w:val="16"/>
        <w:numPr>
          <w:ilvl w:val="0"/>
          <w:numId w:val="1"/>
        </w:numPr>
        <w:spacing w:before="40" w:after="40"/>
      </w:pPr>
      <w:r>
        <w:rPr>
          <w:rFonts w:ascii="Arial" w:hAnsi="Arial" w:eastAsia="Arial" w:cs="Arial"/>
          <w:color w:val="1A1A1A"/>
          <w:sz w:val="19"/>
          <w:szCs w:val="19"/>
        </w:rPr>
        <w:t>Use the solar resource location data for Shepa to set GHI / PSH = 5.5 hours per day in the HOMER solar resource input.</w:t>
      </w:r>
    </w:p>
    <w:p w14:paraId="51FB04FC">
      <w:pPr>
        <w:pStyle w:val="16"/>
        <w:numPr>
          <w:ilvl w:val="0"/>
          <w:numId w:val="1"/>
        </w:numPr>
        <w:spacing w:before="40" w:after="40"/>
      </w:pPr>
      <w:r>
        <w:rPr>
          <w:rFonts w:ascii="Arial" w:hAnsi="Arial" w:eastAsia="Arial" w:cs="Arial"/>
          <w:color w:val="1A1A1A"/>
          <w:sz w:val="19"/>
          <w:szCs w:val="19"/>
        </w:rPr>
        <w:t>Set inverter efficiency to 95% in the converter settings.</w:t>
      </w:r>
    </w:p>
    <w:p w14:paraId="3960CFC1">
      <w:pPr>
        <w:spacing w:before="80" w:after="80"/>
      </w:pPr>
    </w:p>
    <w:p w14:paraId="5646399F">
      <w:pPr>
        <w:pStyle w:val="2"/>
        <w:spacing w:before="320" w:after="160"/>
      </w:pPr>
      <w:r>
        <w:rPr>
          <w:rFonts w:ascii="Arial" w:hAnsi="Arial" w:eastAsia="Arial" w:cs="Arial"/>
          <w:b/>
          <w:bCs/>
          <w:color w:val="1F5C8B"/>
          <w:sz w:val="28"/>
          <w:szCs w:val="28"/>
        </w:rPr>
        <w:t>7. Recommended HOMER Pro Model Structure</w:t>
      </w:r>
    </w:p>
    <w:p w14:paraId="3C214B34">
      <w:pPr>
        <w:pStyle w:val="16"/>
        <w:numPr>
          <w:ilvl w:val="0"/>
          <w:numId w:val="1"/>
        </w:numPr>
        <w:spacing w:before="40" w:after="40"/>
      </w:pPr>
      <w:r>
        <w:rPr>
          <w:rFonts w:ascii="Arial" w:hAnsi="Arial" w:eastAsia="Arial" w:cs="Arial"/>
          <w:color w:val="1A1A1A"/>
          <w:sz w:val="19"/>
          <w:szCs w:val="19"/>
        </w:rPr>
        <w:t>homer_shepa_central_hub_dry.homer – Central Hub, Dry Season (no AWG)</w:t>
      </w:r>
    </w:p>
    <w:p w14:paraId="05C105B7">
      <w:pPr>
        <w:pStyle w:val="16"/>
        <w:numPr>
          <w:ilvl w:val="0"/>
          <w:numId w:val="1"/>
        </w:numPr>
        <w:spacing w:before="40" w:after="40"/>
      </w:pPr>
      <w:r>
        <w:rPr>
          <w:rFonts w:ascii="Arial" w:hAnsi="Arial" w:eastAsia="Arial" w:cs="Arial"/>
          <w:color w:val="1A1A1A"/>
          <w:sz w:val="19"/>
          <w:szCs w:val="19"/>
        </w:rPr>
        <w:t>homer_shepa_central_hub_rainy.homer – Central Hub, Rainy Season (with AWG)</w:t>
      </w:r>
    </w:p>
    <w:p w14:paraId="1C6276A8">
      <w:pPr>
        <w:pStyle w:val="16"/>
        <w:numPr>
          <w:ilvl w:val="0"/>
          <w:numId w:val="1"/>
        </w:numPr>
        <w:spacing w:before="40" w:after="40"/>
      </w:pPr>
      <w:r>
        <w:rPr>
          <w:rFonts w:ascii="Arial" w:hAnsi="Arial" w:eastAsia="Arial" w:cs="Arial"/>
          <w:color w:val="1A1A1A"/>
          <w:sz w:val="19"/>
          <w:szCs w:val="19"/>
        </w:rPr>
        <w:t>homer_shepa_borehole_single.homer – Single Borehole Reference Model</w:t>
      </w:r>
    </w:p>
    <w:p w14:paraId="718BA8BB">
      <w:pPr>
        <w:pStyle w:val="16"/>
        <w:numPr>
          <w:ilvl w:val="0"/>
          <w:numId w:val="1"/>
        </w:numPr>
        <w:spacing w:before="40" w:after="40"/>
      </w:pPr>
      <w:r>
        <w:rPr>
          <w:rFonts w:ascii="Arial" w:hAnsi="Arial" w:eastAsia="Arial" w:cs="Arial"/>
          <w:color w:val="1A1A1A"/>
          <w:sz w:val="19"/>
          <w:szCs w:val="19"/>
        </w:rPr>
        <w:t>Duplicate borehole file x4 for remaining 4 boreholes as required</w:t>
      </w:r>
    </w:p>
    <w:p w14:paraId="5B7A1BAD">
      <w:pPr>
        <w:spacing w:before="80" w:after="80"/>
      </w:pPr>
      <w:bookmarkStart w:id="0" w:name="_GoBack"/>
      <w:bookmarkEnd w:id="0"/>
    </w:p>
    <w:p w14:paraId="2278C0E5">
      <w:pPr>
        <w:pBdr>
          <w:top w:val="single" w:color="1F5C8B" w:sz="4" w:space="1"/>
        </w:pBdr>
        <w:spacing w:before="240" w:after="80"/>
      </w:pPr>
    </w:p>
    <w:p w14:paraId="23C26806">
      <w:pPr>
        <w:jc w:val="center"/>
      </w:pPr>
      <w:r>
        <w:rPr>
          <w:rFonts w:ascii="Arial" w:hAnsi="Arial" w:eastAsia="Arial" w:cs="Arial"/>
          <w:color w:val="888888"/>
          <w:sz w:val="16"/>
          <w:szCs w:val="16"/>
        </w:rPr>
        <w:t>Shepa Project  |  HOMER Pro Data Import Reference  |  Prepared for HOMER Pro Design Phase</w:t>
      </w:r>
    </w:p>
    <w:sectPr>
      <w:pgSz w:w="15840" w:h="122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517A1A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pPr>
      <w:spacing w:before="320" w:after="160"/>
      <w:outlineLvl w:val="0"/>
    </w:pPr>
    <w:rPr>
      <w:rFonts w:ascii="Arial" w:hAnsi="Arial" w:eastAsia="Arial" w:cs="Arial"/>
      <w:b/>
      <w:bCs/>
      <w:color w:val="1F5C8B"/>
      <w:sz w:val="28"/>
      <w:szCs w:val="28"/>
    </w:rPr>
  </w:style>
  <w:style w:type="paragraph" w:styleId="3">
    <w:name w:val="heading 2"/>
    <w:next w:val="1"/>
    <w:qFormat/>
    <w:uiPriority w:val="0"/>
    <w:pPr>
      <w:spacing w:before="200" w:after="120"/>
      <w:outlineLvl w:val="1"/>
    </w:pPr>
    <w:rPr>
      <w:rFonts w:ascii="Arial" w:hAnsi="Arial" w:eastAsia="Arial" w:cs="Arial"/>
      <w:b/>
      <w:bCs/>
      <w:color w:val="2E4057"/>
      <w:sz w:val="22"/>
      <w:szCs w:val="22"/>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220</TotalTime>
  <ScaleCrop>false</ScaleCrop>
  <LinksUpToDate>false</LinksUpToDate>
  <Application>WPS Office_12.2.0.23201_F1E327BC-269C-435d-A152-05C5408002CA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2026-04-16T12:36:00Z</dcterms:created>
  <dc:creator>Un-named</dc:creator>
  <cp:lastModifiedBy>Cassandra Lelei</cp:lastModifiedBy>
  <dcterms:modified xsi:type="dcterms:W3CDTF">2026-04-17T07:18:23Z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751160F746234478A7192A1F8F69FCA1_12</vt:lpwstr>
  </property>
</Properties>
</file>