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A3A5C"/>
          <w:sz w:val="56"/>
          <w:szCs w:val="56"/>
        </w:rPr>
        <w:t xml:space="preserve">SHEPA PROJECT</w:t>
      </w:r>
    </w:p>
    <w:p>
      <w:pPr>
        <w:spacing w:after="60" w:before="0"/>
        <w:jc w:val="center"/>
      </w:pPr>
      <w:r>
        <w:rPr>
          <w:rFonts w:ascii="Calibri" w:cs="Calibri" w:eastAsia="Calibri" w:hAnsi="Calibri"/>
          <w:b/>
          <w:bCs/>
          <w:color w:val="0D7377"/>
          <w:sz w:val="32"/>
          <w:szCs w:val="32"/>
        </w:rPr>
        <w:t xml:space="preserve">Central Hub – HOMER Pro Simulation Results Report</w:t>
      </w:r>
    </w:p>
    <w:p>
      <w:pPr>
        <w:spacing w:after="60" w:before="0"/>
        <w:jc w:val="center"/>
      </w:pPr>
      <w:r>
        <w:rPr>
          <w:rFonts w:ascii="Calibri" w:cs="Calibri" w:eastAsia="Calibri" w:hAnsi="Calibri"/>
          <w:color w:val="555555"/>
          <w:sz w:val="20"/>
          <w:szCs w:val="20"/>
        </w:rPr>
        <w:t xml:space="preserve">Full-Year Hybrid Solar–Battery–Hydrogen System  |  Merti, Isiolo County, Kenya</w:t>
      </w:r>
    </w:p>
    <w:p>
      <w:pPr>
        <w:spacing w:after="200" w:before="0"/>
        <w:jc w:val="center"/>
      </w:pPr>
      <w:r>
        <w:rPr>
          <w:rFonts w:ascii="Calibri" w:cs="Calibri" w:eastAsia="Calibri" w:hAnsi="Calibri"/>
          <w:color w:val="555555"/>
          <w:sz w:val="18"/>
          <w:szCs w:val="18"/>
        </w:rPr>
        <w:t xml:space="preserve">Author: Cassandra Lelei  |  Model: SHEPA_CentralHub_v1  |  HOMER Pro 3.14.2  |  Version 1.0</w:t>
      </w:r>
    </w:p>
    <w:p>
      <w:pPr>
        <w:pBdr>
          <w:bottom w:val="single" w:color="1A3A5C" w:sz="8" w:space="1"/>
        </w:pBdr>
        <w:spacing w:after="320" w:before="0"/>
      </w:pPr>
      <w:r>
        <w:t xml:space="preserve"/>
      </w:r>
    </w:p>
    <w:p>
      <w:pPr>
        <w:pStyle w:val="Heading1"/>
        <w:spacing w:after="160" w:before="360"/>
      </w:pPr>
      <w:r>
        <w:rPr>
          <w:rFonts w:ascii="Calibri" w:cs="Calibri" w:eastAsia="Calibri" w:hAnsi="Calibri"/>
          <w:b/>
          <w:bCs/>
          <w:color w:val="1A3A5C"/>
          <w:sz w:val="30"/>
          <w:szCs w:val="30"/>
        </w:rPr>
        <w:t xml:space="preserve">1. Executive Summary</w:t>
      </w:r>
    </w:p>
    <w:p>
      <w:pPr>
        <w:spacing w:after="80" w:before="60"/>
      </w:pPr>
      <w:r>
        <w:rPr>
          <w:rFonts w:ascii="Calibri" w:cs="Calibri" w:eastAsia="Calibri" w:hAnsi="Calibri"/>
          <w:color w:val="1A1A1A"/>
          <w:sz w:val="20"/>
          <w:szCs w:val="20"/>
        </w:rPr>
        <w:t xml:space="preserve">This report presents the results of the first HOMER Pro simulation of the Shepa Central Hub hybrid energy system. The system was designed as a full-year model incorporating seasonal variation, with the Atmospheric Water Generator (AWG) activated during rainy months (March–May and October–December) rather than as a separate seasonal model.</w:t>
      </w:r>
    </w:p>
    <w:p>
      <w:pPr>
        <w:spacing w:after="80" w:before="60"/>
      </w:pPr>
      <w:r>
        <w:rPr>
          <w:rFonts w:ascii="Calibri" w:cs="Calibri" w:eastAsia="Calibri" w:hAnsi="Calibri"/>
          <w:color w:val="1A1A1A"/>
          <w:sz w:val="20"/>
          <w:szCs w:val="20"/>
        </w:rPr>
        <w:t xml:space="preserve">The simulated system architecture comprises a 200 kW solar PV array, a 100 kWh Li-Ion battery bank (3 strings), a 50 kW bidirectional converter, a 30 kW electrolyzer, a 20 kg hydrogen storage tank, and a 50 kW diesel generator as backup. HOMER selected Cycle Charging as the optimal dispatch strategy.</w:t>
      </w:r>
    </w:p>
    <w:p>
      <w:pPr>
        <w:spacing w:after="80" w:before="60"/>
      </w:pPr>
      <w:r>
        <w:rPr>
          <w:rFonts w:ascii="Calibri" w:cs="Calibri" w:eastAsia="Calibri" w:hAnsi="Calibri"/>
          <w:color w:val="1A1A1A"/>
          <w:sz w:val="20"/>
          <w:szCs w:val="20"/>
        </w:rPr>
        <w:t xml:space="preserve">Key financial outputs from this first simulation are as follows:</w:t>
      </w:r>
    </w:p>
    <w:p>
      <w:pPr>
        <w:spacing w:after="80" w:before="80"/>
      </w:pPr>
      <w:r>
        <w:rPr>
          <w:rFonts w:ascii="Calibri" w:cs="Calibri" w:eastAsia="Calibri" w:hAnsi="Calibri"/>
          <w:b/>
          <w:bCs/>
          <w:color w:val="1A3A5C"/>
          <w:sz w:val="20"/>
          <w:szCs w:val="20"/>
        </w:rPr>
        <w:t xml:space="preserve">Total Net Present Cost (NPC): </w:t>
      </w:r>
      <w:r>
        <w:rPr>
          <w:rFonts w:ascii="Calibri" w:cs="Calibri" w:eastAsia="Calibri" w:hAnsi="Calibri"/>
          <w:color w:val="1A1A1A"/>
          <w:sz w:val="20"/>
          <w:szCs w:val="20"/>
        </w:rPr>
        <w:t xml:space="preserve">$760,330</w:t>
      </w:r>
    </w:p>
    <w:p>
      <w:pPr>
        <w:spacing w:after="80" w:before="80"/>
      </w:pPr>
      <w:r>
        <w:rPr>
          <w:rFonts w:ascii="Calibri" w:cs="Calibri" w:eastAsia="Calibri" w:hAnsi="Calibri"/>
          <w:b/>
          <w:bCs/>
          <w:color w:val="1A3A5C"/>
          <w:sz w:val="20"/>
          <w:szCs w:val="20"/>
        </w:rPr>
        <w:t xml:space="preserve">Levelised Cost of Energy (LCOE): </w:t>
      </w:r>
      <w:r>
        <w:rPr>
          <w:rFonts w:ascii="Calibri" w:cs="Calibri" w:eastAsia="Calibri" w:hAnsi="Calibri"/>
          <w:color w:val="1A1A1A"/>
          <w:sz w:val="20"/>
          <w:szCs w:val="20"/>
        </w:rPr>
        <w:t xml:space="preserve">$0.4424 / kWh</w:t>
      </w:r>
    </w:p>
    <w:p>
      <w:pPr>
        <w:spacing w:after="80" w:before="80"/>
      </w:pPr>
      <w:r>
        <w:rPr>
          <w:rFonts w:ascii="Calibri" w:cs="Calibri" w:eastAsia="Calibri" w:hAnsi="Calibri"/>
          <w:b/>
          <w:bCs/>
          <w:color w:val="1A3A5C"/>
          <w:sz w:val="20"/>
          <w:szCs w:val="20"/>
        </w:rPr>
        <w:t xml:space="preserve">Annual Operating Cost: </w:t>
      </w:r>
      <w:r>
        <w:rPr>
          <w:rFonts w:ascii="Calibri" w:cs="Calibri" w:eastAsia="Calibri" w:hAnsi="Calibri"/>
          <w:color w:val="1A1A1A"/>
          <w:sz w:val="20"/>
          <w:szCs w:val="20"/>
        </w:rPr>
        <w:t xml:space="preserve">$23,297 / year</w:t>
      </w:r>
    </w:p>
    <w:p>
      <w:pPr>
        <w:spacing w:after="80" w:before="60"/>
      </w:pPr>
      <w:r>
        <w:rPr>
          <w:rFonts w:ascii="Calibri" w:cs="Calibri" w:eastAsia="Calibri" w:hAnsi="Calibri"/>
          <w:color w:val="1A1A1A"/>
          <w:sz w:val="20"/>
          <w:szCs w:val="20"/>
        </w:rPr>
        <w:t xml:space="preserve">While these results represent a meaningful first simulation, three HOMER warnings indicate that the current configuration requires refinement before results can be considered final. These are addressed in detail in Section 6 and the Optimisation Next Steps (Section 7).</w:t>
      </w:r>
    </w:p>
    <w:p>
      <w:pPr>
        <w:pBdr>
          <w:left w:val="single" w:color="D4860B" w:sz="4" w:space="1"/>
        </w:pBdr>
        <w:spacing w:after="80" w:before="80"/>
        <w:ind w:left="360"/>
      </w:pPr>
      <w:r>
        <w:rPr>
          <w:rFonts w:ascii="Calibri" w:cs="Calibri" w:eastAsia="Calibri" w:hAnsi="Calibri"/>
          <w:i/>
          <w:iCs/>
          <w:color w:val="444444"/>
          <w:sz w:val="18"/>
          <w:szCs w:val="18"/>
        </w:rPr>
        <w:t xml:space="preserve">This report covers the Central Hub model only. Borehole system models (5 independent systems, ~27 kWh/day each) will be developed and presented in the next phase.</w:t>
      </w:r>
    </w:p>
    <w:p>
      <w:pPr>
        <w:spacing w:after="100" w:before="100"/>
      </w:pPr>
      <w:r>
        <w:t xml:space="preserve"/>
      </w:r>
    </w:p>
    <w:p>
      <w:pPr>
        <w:pStyle w:val="Heading1"/>
        <w:spacing w:after="160" w:before="360"/>
      </w:pPr>
      <w:r>
        <w:rPr>
          <w:rFonts w:ascii="Calibri" w:cs="Calibri" w:eastAsia="Calibri" w:hAnsi="Calibri"/>
          <w:b/>
          <w:bCs/>
          <w:color w:val="1A3A5C"/>
          <w:sz w:val="30"/>
          <w:szCs w:val="30"/>
        </w:rPr>
        <w:t xml:space="preserve">2. System Design Overview</w:t>
      </w:r>
    </w:p>
    <w:p>
      <w:pPr>
        <w:pStyle w:val="Heading2"/>
        <w:spacing w:after="120" w:before="240"/>
      </w:pPr>
      <w:r>
        <w:rPr>
          <w:rFonts w:ascii="Calibri" w:cs="Calibri" w:eastAsia="Calibri" w:hAnsi="Calibri"/>
          <w:b/>
          <w:bCs/>
          <w:color w:val="0D7377"/>
          <w:sz w:val="24"/>
          <w:szCs w:val="24"/>
        </w:rPr>
        <w:t xml:space="preserve">2.1  Model Configuration</w:t>
      </w:r>
    </w:p>
    <w:p>
      <w:pPr>
        <w:spacing w:after="80" w:before="60"/>
      </w:pPr>
      <w:r>
        <w:rPr>
          <w:rFonts w:ascii="Calibri" w:cs="Calibri" w:eastAsia="Calibri" w:hAnsi="Calibri"/>
          <w:color w:val="1A1A1A"/>
          <w:sz w:val="20"/>
          <w:szCs w:val="20"/>
        </w:rPr>
        <w:t xml:space="preserve">The HOMER Pro project file (SHEPA_CentralHub_v1.homer) was configured for the site at Merti, Isiolo County, Kenya (1°4.0'N, 38°40.0'E). The following design parameters were applied:</w:t>
      </w:r>
    </w:p>
    <w:p>
      <w:pPr>
        <w:pStyle w:val="ListParagraph"/>
        <w:numPr>
          <w:ilvl w:val="0"/>
          <w:numId w:val="2"/>
        </w:numPr>
        <w:spacing w:after="50" w:before="50"/>
      </w:pPr>
      <w:r>
        <w:rPr>
          <w:rFonts w:ascii="Calibri" w:cs="Calibri" w:eastAsia="Calibri" w:hAnsi="Calibri"/>
          <w:color w:val="1A1A1A"/>
          <w:sz w:val="19"/>
          <w:szCs w:val="19"/>
        </w:rPr>
        <w:t xml:space="preserve">Location: Merti, Isiolo County, Kenya</w:t>
      </w:r>
    </w:p>
    <w:p>
      <w:pPr>
        <w:pStyle w:val="ListParagraph"/>
        <w:numPr>
          <w:ilvl w:val="0"/>
          <w:numId w:val="2"/>
        </w:numPr>
        <w:spacing w:after="50" w:before="50"/>
      </w:pPr>
      <w:r>
        <w:rPr>
          <w:rFonts w:ascii="Calibri" w:cs="Calibri" w:eastAsia="Calibri" w:hAnsi="Calibri"/>
          <w:color w:val="1A1A1A"/>
          <w:sz w:val="19"/>
          <w:szCs w:val="19"/>
        </w:rPr>
        <w:t xml:space="preserve">Timezone: UTC+03:00 (Nairobi)</w:t>
      </w:r>
    </w:p>
    <w:p>
      <w:pPr>
        <w:pStyle w:val="ListParagraph"/>
        <w:numPr>
          <w:ilvl w:val="0"/>
          <w:numId w:val="2"/>
        </w:numPr>
        <w:spacing w:after="50" w:before="50"/>
      </w:pPr>
      <w:r>
        <w:rPr>
          <w:rFonts w:ascii="Calibri" w:cs="Calibri" w:eastAsia="Calibri" w:hAnsi="Calibri"/>
          <w:color w:val="1A1A1A"/>
          <w:sz w:val="19"/>
          <w:szCs w:val="19"/>
        </w:rPr>
        <w:t xml:space="preserve">Discount Rate: 10.00%</w:t>
      </w:r>
    </w:p>
    <w:p>
      <w:pPr>
        <w:pStyle w:val="ListParagraph"/>
        <w:numPr>
          <w:ilvl w:val="0"/>
          <w:numId w:val="2"/>
        </w:numPr>
        <w:spacing w:after="50" w:before="50"/>
      </w:pPr>
      <w:r>
        <w:rPr>
          <w:rFonts w:ascii="Calibri" w:cs="Calibri" w:eastAsia="Calibri" w:hAnsi="Calibri"/>
          <w:color w:val="1A1A1A"/>
          <w:sz w:val="19"/>
          <w:szCs w:val="19"/>
        </w:rPr>
        <w:t xml:space="preserve">Inflation Rate: 5.00%</w:t>
      </w:r>
    </w:p>
    <w:p>
      <w:pPr>
        <w:pStyle w:val="ListParagraph"/>
        <w:numPr>
          <w:ilvl w:val="0"/>
          <w:numId w:val="2"/>
        </w:numPr>
        <w:spacing w:after="50" w:before="50"/>
      </w:pPr>
      <w:r>
        <w:rPr>
          <w:rFonts w:ascii="Calibri" w:cs="Calibri" w:eastAsia="Calibri" w:hAnsi="Calibri"/>
          <w:color w:val="1A1A1A"/>
          <w:sz w:val="19"/>
          <w:szCs w:val="19"/>
        </w:rPr>
        <w:t xml:space="preserve">Annual Capacity Shortage: 0.00% (zero unmet load policy)</w:t>
      </w:r>
    </w:p>
    <w:p>
      <w:pPr>
        <w:pStyle w:val="ListParagraph"/>
        <w:numPr>
          <w:ilvl w:val="0"/>
          <w:numId w:val="2"/>
        </w:numPr>
        <w:spacing w:after="50" w:before="50"/>
      </w:pPr>
      <w:r>
        <w:rPr>
          <w:rFonts w:ascii="Calibri" w:cs="Calibri" w:eastAsia="Calibri" w:hAnsi="Calibri"/>
          <w:color w:val="1A1A1A"/>
          <w:sz w:val="19"/>
          <w:szCs w:val="19"/>
        </w:rPr>
        <w:t xml:space="preserve">Project Lifetime: 25 years</w:t>
      </w:r>
    </w:p>
    <w:p>
      <w:pPr>
        <w:pStyle w:val="ListParagraph"/>
        <w:numPr>
          <w:ilvl w:val="0"/>
          <w:numId w:val="2"/>
        </w:numPr>
        <w:spacing w:after="50" w:before="50"/>
      </w:pPr>
      <w:r>
        <w:rPr>
          <w:rFonts w:ascii="Calibri" w:cs="Calibri" w:eastAsia="Calibri" w:hAnsi="Calibri"/>
          <w:color w:val="1A1A1A"/>
          <w:sz w:val="19"/>
          <w:szCs w:val="19"/>
        </w:rPr>
        <w:t xml:space="preserve">Dispatch Strategy: HOMER Cycle Charging</w:t>
      </w:r>
    </w:p>
    <w:p>
      <w:pPr>
        <w:spacing w:after="100" w:before="100"/>
      </w:pPr>
      <w:r>
        <w:t xml:space="preserve"/>
      </w:r>
    </w:p>
    <w:p>
      <w:pPr>
        <w:pStyle w:val="Heading2"/>
        <w:spacing w:after="120" w:before="240"/>
      </w:pPr>
      <w:r>
        <w:rPr>
          <w:rFonts w:ascii="Calibri" w:cs="Calibri" w:eastAsia="Calibri" w:hAnsi="Calibri"/>
          <w:b/>
          <w:bCs/>
          <w:color w:val="0D7377"/>
          <w:sz w:val="24"/>
          <w:szCs w:val="24"/>
        </w:rPr>
        <w:t xml:space="preserve">2.2  Electrical Load Profile</w:t>
      </w:r>
    </w:p>
    <w:p>
      <w:pPr>
        <w:spacing w:after="80" w:before="60"/>
      </w:pPr>
      <w:r>
        <w:rPr>
          <w:rFonts w:ascii="Calibri" w:cs="Calibri" w:eastAsia="Calibri" w:hAnsi="Calibri"/>
          <w:color w:val="1A1A1A"/>
          <w:sz w:val="20"/>
          <w:szCs w:val="20"/>
        </w:rPr>
        <w:t xml:space="preserve">The system serves a mixed AC and DC load consisting of continuous 24-hour critical loads and daytime deferrable loads. The HOMER schematic shows three distinct load groups: Electric Load #1 (295 kWh/day, 18.75 kW peak — AC primary critical loads), Electric Load #2 (14.52 kWh/day, 2.20 kW peak — AWG seasonal load), and Compressor + RO System (16.80 kWh/day, 4.10 kW peak — deferrable daytime loads). The electrolyzer (30 kW) is connected to the DC bus as a deferrable load.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2160"/>
      </w:tblGrid>
      <w:tr>
        <w:trPr>
          <w:tblHeader/>
        </w:trPr>
        <w:tc>
          <w:tcPr>
            <w:tcW w:type="dxa" w:w="26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Load / System</w:t>
            </w:r>
          </w:p>
        </w:tc>
        <w:tc>
          <w:tcPr>
            <w:tcW w:type="dxa" w:w="14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kW Peak</w:t>
            </w:r>
          </w:p>
        </w:tc>
        <w:tc>
          <w:tcPr>
            <w:tcW w:type="dxa" w:w="16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kWh/day</w:t>
            </w:r>
          </w:p>
        </w:tc>
        <w:tc>
          <w:tcPr>
            <w:tcW w:type="dxa" w:w="16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Type</w:t>
            </w:r>
          </w:p>
        </w:tc>
        <w:tc>
          <w:tcPr>
            <w:tcW w:type="dxa" w:w="216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HOMER Category</w:t>
            </w:r>
          </w:p>
        </w:tc>
      </w:tr>
      <w:tr>
        <w:tc>
          <w:tcPr>
            <w:tcW w:type="dxa" w:w="2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Cold Room HVAC (Compressors)</w:t>
            </w:r>
          </w:p>
        </w:tc>
        <w:tc>
          <w:tcPr>
            <w:tcW w:type="dxa" w:w="1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8.5</w:t>
            </w:r>
          </w:p>
        </w:tc>
        <w:tc>
          <w:tcPr>
            <w:tcW w:type="dxa" w:w="1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204</w:t>
            </w:r>
          </w:p>
        </w:tc>
        <w:tc>
          <w:tcPr>
            <w:tcW w:type="dxa" w:w="1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24-Hour</w:t>
            </w:r>
          </w:p>
        </w:tc>
        <w:tc>
          <w:tcPr>
            <w:tcW w:type="dxa" w:w="21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AC Primary Load</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Cold Room Fans &amp; Controls</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1.5</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36</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24-Hour</w:t>
            </w:r>
          </w:p>
        </w:tc>
        <w:tc>
          <w:tcPr>
            <w:tcW w:type="dxa" w:w="21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AC Primary Load</w:t>
            </w:r>
          </w:p>
        </w:tc>
      </w:tr>
      <w:tr>
        <w:tc>
          <w:tcPr>
            <w:tcW w:type="dxa" w:w="2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Cold Room Lighting</w:t>
            </w:r>
          </w:p>
        </w:tc>
        <w:tc>
          <w:tcPr>
            <w:tcW w:type="dxa" w:w="1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0.5</w:t>
            </w:r>
          </w:p>
        </w:tc>
        <w:tc>
          <w:tcPr>
            <w:tcW w:type="dxa" w:w="1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12</w:t>
            </w:r>
          </w:p>
        </w:tc>
        <w:tc>
          <w:tcPr>
            <w:tcW w:type="dxa" w:w="1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24-Hour</w:t>
            </w:r>
          </w:p>
        </w:tc>
        <w:tc>
          <w:tcPr>
            <w:tcW w:type="dxa" w:w="21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AC Primary Load</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Control Room (SCADA, IT, Comms)</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0.8</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19.2</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24-Hour</w:t>
            </w:r>
          </w:p>
        </w:tc>
        <w:tc>
          <w:tcPr>
            <w:tcW w:type="dxa" w:w="21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AC Primary Load</w:t>
            </w:r>
          </w:p>
        </w:tc>
      </w:tr>
      <w:tr>
        <w:tc>
          <w:tcPr>
            <w:tcW w:type="dxa" w:w="2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Hydrogen Auxiliary Systems</w:t>
            </w:r>
          </w:p>
        </w:tc>
        <w:tc>
          <w:tcPr>
            <w:tcW w:type="dxa" w:w="1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1.0</w:t>
            </w:r>
          </w:p>
        </w:tc>
        <w:tc>
          <w:tcPr>
            <w:tcW w:type="dxa" w:w="1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24</w:t>
            </w:r>
          </w:p>
        </w:tc>
        <w:tc>
          <w:tcPr>
            <w:tcW w:type="dxa" w:w="1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24-Hour</w:t>
            </w:r>
          </w:p>
        </w:tc>
        <w:tc>
          <w:tcPr>
            <w:tcW w:type="dxa" w:w="21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AC Primary Load</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Compressor + RO System</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4.1</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16.8</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Daytime</w:t>
            </w:r>
          </w:p>
        </w:tc>
        <w:tc>
          <w:tcPr>
            <w:tcW w:type="dxa" w:w="21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Deferrable Load</w:t>
            </w:r>
          </w:p>
        </w:tc>
      </w:tr>
      <w:tr>
        <w:tc>
          <w:tcPr>
            <w:tcW w:type="dxa" w:w="2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Electrolyzer (30 kW)</w:t>
            </w:r>
          </w:p>
        </w:tc>
        <w:tc>
          <w:tcPr>
            <w:tcW w:type="dxa" w:w="1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30.0</w:t>
            </w:r>
          </w:p>
        </w:tc>
        <w:tc>
          <w:tcPr>
            <w:tcW w:type="dxa" w:w="1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240</w:t>
            </w:r>
          </w:p>
        </w:tc>
        <w:tc>
          <w:tcPr>
            <w:tcW w:type="dxa" w:w="1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Daytime</w:t>
            </w:r>
          </w:p>
        </w:tc>
        <w:tc>
          <w:tcPr>
            <w:tcW w:type="dxa" w:w="21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Deferrable / DC Load</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AWG Load (Rainy Months)</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1.2</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28.8</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Seasonal</w:t>
            </w:r>
          </w:p>
        </w:tc>
        <w:tc>
          <w:tcPr>
            <w:tcW w:type="dxa" w:w="21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AC Primary (seasonal)</w:t>
            </w:r>
          </w:p>
        </w:tc>
      </w:tr>
    </w:tbl>
    <w:p>
      <w:pPr>
        <w:spacing w:after="100" w:before="100"/>
      </w:pPr>
      <w:r>
        <w:t xml:space="preserve"/>
      </w:r>
    </w:p>
    <w:p>
      <w:pPr>
        <w:pBdr>
          <w:left w:val="single" w:color="D4860B" w:sz="4" w:space="1"/>
        </w:pBdr>
        <w:spacing w:after="80" w:before="80"/>
        <w:ind w:left="360"/>
      </w:pPr>
      <w:r>
        <w:rPr>
          <w:rFonts w:ascii="Calibri" w:cs="Calibri" w:eastAsia="Calibri" w:hAnsi="Calibri"/>
          <w:i/>
          <w:iCs/>
          <w:color w:val="444444"/>
          <w:sz w:val="18"/>
          <w:szCs w:val="18"/>
        </w:rPr>
        <w:t xml:space="preserve">The AWG load (Electric Load #2) was modelled with 1.2 kW active during rainy months (March, April, May, October, November, December) and zero during dry months, reflecting a full-year integrated approach rather than separate seasonal models.</w:t>
      </w:r>
    </w:p>
    <w:p>
      <w:pPr>
        <w:spacing w:after="100" w:before="100"/>
      </w:pPr>
      <w:r>
        <w:t xml:space="preserve"/>
      </w:r>
    </w:p>
    <w:p>
      <w:pPr>
        <w:pStyle w:val="Heading2"/>
        <w:spacing w:after="120" w:before="240"/>
      </w:pPr>
      <w:r>
        <w:rPr>
          <w:rFonts w:ascii="Calibri" w:cs="Calibri" w:eastAsia="Calibri" w:hAnsi="Calibri"/>
          <w:b/>
          <w:bCs/>
          <w:color w:val="0D7377"/>
          <w:sz w:val="24"/>
          <w:szCs w:val="24"/>
        </w:rPr>
        <w:t xml:space="preserve">2.3  System Architecture</w:t>
      </w:r>
    </w:p>
    <w:p>
      <w:pPr>
        <w:spacing w:after="80" w:before="60"/>
      </w:pPr>
      <w:r>
        <w:rPr>
          <w:rFonts w:ascii="Calibri" w:cs="Calibri" w:eastAsia="Calibri" w:hAnsi="Calibri"/>
          <w:color w:val="1A1A1A"/>
          <w:sz w:val="20"/>
          <w:szCs w:val="20"/>
        </w:rPr>
        <w:t xml:space="preserve">The system uses an AC bus topology with the following components connected:</w:t>
      </w:r>
    </w:p>
    <w:p>
      <w:pPr>
        <w:pStyle w:val="ListParagraph"/>
        <w:numPr>
          <w:ilvl w:val="0"/>
          <w:numId w:val="2"/>
        </w:numPr>
        <w:spacing w:after="50" w:before="50"/>
      </w:pPr>
      <w:r>
        <w:rPr>
          <w:rFonts w:ascii="Calibri" w:cs="Calibri" w:eastAsia="Calibri" w:hAnsi="Calibri"/>
          <w:color w:val="1A1A1A"/>
          <w:sz w:val="19"/>
          <w:szCs w:val="19"/>
        </w:rPr>
        <w:t xml:space="preserve">AC Bus: Electric loads, generator, and converter</w:t>
      </w:r>
    </w:p>
    <w:p>
      <w:pPr>
        <w:pStyle w:val="ListParagraph"/>
        <w:numPr>
          <w:ilvl w:val="0"/>
          <w:numId w:val="2"/>
        </w:numPr>
        <w:spacing w:after="50" w:before="50"/>
      </w:pPr>
      <w:r>
        <w:rPr>
          <w:rFonts w:ascii="Calibri" w:cs="Calibri" w:eastAsia="Calibri" w:hAnsi="Calibri"/>
          <w:color w:val="1A1A1A"/>
          <w:sz w:val="19"/>
          <w:szCs w:val="19"/>
        </w:rPr>
        <w:t xml:space="preserve">DC Bus: Solar PV, battery bank, and electrolyzer</w:t>
      </w:r>
    </w:p>
    <w:p>
      <w:pPr>
        <w:pStyle w:val="ListParagraph"/>
        <w:numPr>
          <w:ilvl w:val="0"/>
          <w:numId w:val="2"/>
        </w:numPr>
        <w:spacing w:after="50" w:before="50"/>
      </w:pPr>
      <w:r>
        <w:rPr>
          <w:rFonts w:ascii="Calibri" w:cs="Calibri" w:eastAsia="Calibri" w:hAnsi="Calibri"/>
          <w:color w:val="1A1A1A"/>
          <w:sz w:val="19"/>
          <w:szCs w:val="19"/>
        </w:rPr>
        <w:t xml:space="preserve">Converter bridges AC and DC buses bidirectionally</w:t>
      </w:r>
    </w:p>
    <w:p>
      <w:pPr>
        <w:pStyle w:val="ListParagraph"/>
        <w:numPr>
          <w:ilvl w:val="0"/>
          <w:numId w:val="2"/>
        </w:numPr>
        <w:spacing w:after="50" w:before="50"/>
      </w:pPr>
      <w:r>
        <w:rPr>
          <w:rFonts w:ascii="Calibri" w:cs="Calibri" w:eastAsia="Calibri" w:hAnsi="Calibri"/>
          <w:color w:val="1A1A1A"/>
          <w:sz w:val="19"/>
          <w:szCs w:val="19"/>
        </w:rPr>
        <w:t xml:space="preserve">Hydrogen Tank connected to the electrolyzer output</w:t>
      </w:r>
    </w:p>
    <w:p>
      <w:pPr>
        <w:spacing w:after="100" w:before="100"/>
      </w:pPr>
      <w:r>
        <w:t xml:space="preserve"/>
      </w:r>
    </w:p>
    <w:p>
      <w:r>
        <w:br w:type="page"/>
      </w:r>
    </w:p>
    <w:p>
      <w:pPr>
        <w:pStyle w:val="Heading1"/>
        <w:spacing w:after="160" w:before="360"/>
      </w:pPr>
      <w:r>
        <w:rPr>
          <w:rFonts w:ascii="Calibri" w:cs="Calibri" w:eastAsia="Calibri" w:hAnsi="Calibri"/>
          <w:b/>
          <w:bCs/>
          <w:color w:val="1A3A5C"/>
          <w:sz w:val="30"/>
          <w:szCs w:val="30"/>
        </w:rPr>
        <w:t xml:space="preserve">3. Simulation Results – Key Financial Metrics</w:t>
      </w:r>
    </w:p>
    <w:p>
      <w:pPr>
        <w:pStyle w:val="Heading2"/>
        <w:spacing w:after="120" w:before="240"/>
      </w:pPr>
      <w:r>
        <w:rPr>
          <w:rFonts w:ascii="Calibri" w:cs="Calibri" w:eastAsia="Calibri" w:hAnsi="Calibri"/>
          <w:b/>
          <w:bCs/>
          <w:color w:val="0D7377"/>
          <w:sz w:val="24"/>
          <w:szCs w:val="24"/>
        </w:rPr>
        <w:t xml:space="preserve">3.1  Optimal System Configuration</w:t>
      </w:r>
    </w:p>
    <w:p>
      <w:pPr>
        <w:spacing w:after="80" w:before="60"/>
      </w:pPr>
      <w:r>
        <w:rPr>
          <w:rFonts w:ascii="Calibri" w:cs="Calibri" w:eastAsia="Calibri" w:hAnsi="Calibri"/>
          <w:color w:val="1A1A1A"/>
          <w:sz w:val="20"/>
          <w:szCs w:val="20"/>
        </w:rPr>
        <w:t xml:space="preserve">HOMER Pro evaluated multiple system configurations and selected the following as the cost-optimal solution within the defined search spaces: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rPr>
          <w:tblHeader/>
        </w:trPr>
        <w:tc>
          <w:tcPr>
            <w:tcW w:type="dxa" w:w="32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Metric</w:t>
            </w:r>
          </w:p>
        </w:tc>
        <w:tc>
          <w:tcPr>
            <w:tcW w:type="dxa" w:w="23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Value</w:t>
            </w:r>
          </w:p>
        </w:tc>
        <w:tc>
          <w:tcPr>
            <w:tcW w:type="dxa" w:w="386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Interpretation</w:t>
            </w:r>
          </w:p>
        </w:tc>
      </w:tr>
      <w:tr>
        <w:tc>
          <w:tcPr>
            <w:tcW w:type="dxa" w:w="32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Total Net Present Cost (NPC)</w:t>
            </w:r>
          </w:p>
        </w:tc>
        <w:tc>
          <w:tcPr>
            <w:tcW w:type="dxa" w:w="23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$760,330</w:t>
            </w:r>
          </w:p>
        </w:tc>
        <w:tc>
          <w:tcPr>
            <w:tcW w:type="dxa" w:w="38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Total 25-year lifecycle cost of the system</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Levelised Cost of Energy (LCOE)</w:t>
            </w:r>
          </w:p>
        </w:tc>
        <w:tc>
          <w:tcPr>
            <w:tcW w:type="dxa" w:w="23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$0.4424/kWh</w:t>
            </w:r>
          </w:p>
        </w:tc>
        <w:tc>
          <w:tcPr>
            <w:tcW w:type="dxa" w:w="38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Cost per unit of electricity generated over system life</w:t>
            </w:r>
          </w:p>
        </w:tc>
      </w:tr>
      <w:tr>
        <w:tc>
          <w:tcPr>
            <w:tcW w:type="dxa" w:w="32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Annual Operating Cost</w:t>
            </w:r>
          </w:p>
        </w:tc>
        <w:tc>
          <w:tcPr>
            <w:tcW w:type="dxa" w:w="23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$23,297/yr</w:t>
            </w:r>
          </w:p>
        </w:tc>
        <w:tc>
          <w:tcPr>
            <w:tcW w:type="dxa" w:w="38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Recurring yearly cost to operate and maintain the system</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System Capital Cost</w:t>
            </w:r>
          </w:p>
        </w:tc>
        <w:tc>
          <w:tcPr>
            <w:tcW w:type="dxa" w:w="23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$424,000</w:t>
            </w:r>
          </w:p>
        </w:tc>
        <w:tc>
          <w:tcPr>
            <w:tcW w:type="dxa" w:w="38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Upfront investment for all hardware components</w:t>
            </w:r>
          </w:p>
        </w:tc>
      </w:tr>
      <w:tr>
        <w:tc>
          <w:tcPr>
            <w:tcW w:type="dxa" w:w="32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PV Capacity</w:t>
            </w:r>
          </w:p>
        </w:tc>
        <w:tc>
          <w:tcPr>
            <w:tcW w:type="dxa" w:w="23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200 kW</w:t>
            </w:r>
          </w:p>
        </w:tc>
        <w:tc>
          <w:tcPr>
            <w:tcW w:type="dxa" w:w="38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Solar array size selected by HOMER optimisation</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Battery Capacity</w:t>
            </w:r>
          </w:p>
        </w:tc>
        <w:tc>
          <w:tcPr>
            <w:tcW w:type="dxa" w:w="23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100 kWh (3 strings)</w:t>
            </w:r>
          </w:p>
        </w:tc>
        <w:tc>
          <w:tcPr>
            <w:tcW w:type="dxa" w:w="38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Li-Ion battery bank for overnight and buffer storage</w:t>
            </w:r>
          </w:p>
        </w:tc>
      </w:tr>
      <w:tr>
        <w:tc>
          <w:tcPr>
            <w:tcW w:type="dxa" w:w="32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Converter Capacity</w:t>
            </w:r>
          </w:p>
        </w:tc>
        <w:tc>
          <w:tcPr>
            <w:tcW w:type="dxa" w:w="23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50 kW</w:t>
            </w:r>
          </w:p>
        </w:tc>
        <w:tc>
          <w:tcPr>
            <w:tcW w:type="dxa" w:w="38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Bidirectional inverter/charger capacity</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Electrolyzer Capacity</w:t>
            </w:r>
          </w:p>
        </w:tc>
        <w:tc>
          <w:tcPr>
            <w:tcW w:type="dxa" w:w="23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30 kW</w:t>
            </w:r>
          </w:p>
        </w:tc>
        <w:tc>
          <w:tcPr>
            <w:tcW w:type="dxa" w:w="38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Hydrogen production unit sized to produce ~5 kg/day</w:t>
            </w:r>
          </w:p>
        </w:tc>
      </w:tr>
      <w:tr>
        <w:tc>
          <w:tcPr>
            <w:tcW w:type="dxa" w:w="32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Hydrogen Tank Capacity</w:t>
            </w:r>
          </w:p>
        </w:tc>
        <w:tc>
          <w:tcPr>
            <w:tcW w:type="dxa" w:w="23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20 kg</w:t>
            </w:r>
          </w:p>
        </w:tc>
        <w:tc>
          <w:tcPr>
            <w:tcW w:type="dxa" w:w="38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Hydrogen storage volume</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Backup Generator</w:t>
            </w:r>
          </w:p>
        </w:tc>
        <w:tc>
          <w:tcPr>
            <w:tcW w:type="dxa" w:w="23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50 kW Genset</w:t>
            </w:r>
          </w:p>
        </w:tc>
        <w:tc>
          <w:tcPr>
            <w:tcW w:type="dxa" w:w="38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Diesel generator retained for system reliability</w:t>
            </w:r>
          </w:p>
        </w:tc>
      </w:tr>
      <w:tr>
        <w:tc>
          <w:tcPr>
            <w:tcW w:type="dxa" w:w="32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Dispatch Strategy</w:t>
            </w:r>
          </w:p>
        </w:tc>
        <w:tc>
          <w:tcPr>
            <w:tcW w:type="dxa" w:w="23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HOMER Cycle Charging</w:t>
            </w:r>
          </w:p>
        </w:tc>
        <w:tc>
          <w:tcPr>
            <w:tcW w:type="dxa" w:w="38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Generator charges battery fully when it operates</w:t>
            </w:r>
          </w:p>
        </w:tc>
      </w:tr>
    </w:tbl>
    <w:p>
      <w:pPr>
        <w:spacing w:after="100" w:before="100"/>
      </w:pPr>
      <w:r>
        <w:t xml:space="preserve"/>
      </w:r>
    </w:p>
    <w:p>
      <w:pPr>
        <w:pStyle w:val="Heading2"/>
        <w:spacing w:after="120" w:before="240"/>
      </w:pPr>
      <w:r>
        <w:rPr>
          <w:rFonts w:ascii="Calibri" w:cs="Calibri" w:eastAsia="Calibri" w:hAnsi="Calibri"/>
          <w:b/>
          <w:bCs/>
          <w:color w:val="0D7377"/>
          <w:sz w:val="24"/>
          <w:szCs w:val="24"/>
        </w:rPr>
        <w:t xml:space="preserve">3.2  Cost Breakdown by Component</w:t>
      </w:r>
    </w:p>
    <w:p>
      <w:pPr>
        <w:spacing w:after="80" w:before="60"/>
      </w:pPr>
      <w:r>
        <w:rPr>
          <w:rFonts w:ascii="Calibri" w:cs="Calibri" w:eastAsia="Calibri" w:hAnsi="Calibri"/>
          <w:color w:val="1A1A1A"/>
          <w:sz w:val="20"/>
          <w:szCs w:val="20"/>
        </w:rPr>
        <w:t xml:space="preserve">The table below presents the full lifecycle cost breakdown (Net Present Cost) for each system component over the 25-year project lifetime: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1500"/>
        <w:gridCol w:w="1000"/>
        <w:gridCol w:w="1760"/>
      </w:tblGrid>
      <w:tr>
        <w:trPr>
          <w:tblHeader/>
        </w:trPr>
        <w:tc>
          <w:tcPr>
            <w:tcW w:type="dxa" w:w="24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Component</w:t>
            </w:r>
          </w:p>
        </w:tc>
        <w:tc>
          <w:tcPr>
            <w:tcW w:type="dxa" w:w="15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Capital ($)</w:t>
            </w:r>
          </w:p>
        </w:tc>
        <w:tc>
          <w:tcPr>
            <w:tcW w:type="dxa" w:w="17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Replacement ($)</w:t>
            </w:r>
          </w:p>
        </w:tc>
        <w:tc>
          <w:tcPr>
            <w:tcW w:type="dxa" w:w="15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O&amp;M ($)</w:t>
            </w:r>
          </w:p>
        </w:tc>
        <w:tc>
          <w:tcPr>
            <w:tcW w:type="dxa" w:w="10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Salvage ($)</w:t>
            </w:r>
          </w:p>
        </w:tc>
        <w:tc>
          <w:tcPr>
            <w:tcW w:type="dxa" w:w="176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Total NPC ($)</w:t>
            </w:r>
          </w:p>
        </w:tc>
      </w:tr>
      <w:tr>
        <w:tc>
          <w:tcPr>
            <w:tcW w:type="dxa" w:w="2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Generic 100kWh Li-Ion Battery</w:t>
            </w:r>
          </w:p>
        </w:tc>
        <w:tc>
          <w:tcPr>
            <w:tcW w:type="dxa" w:w="15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$54,000</w:t>
            </w:r>
          </w:p>
        </w:tc>
        <w:tc>
          <w:tcPr>
            <w:tcW w:type="dxa" w:w="17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$67,128</w:t>
            </w:r>
          </w:p>
        </w:tc>
        <w:tc>
          <w:tcPr>
            <w:tcW w:type="dxa" w:w="15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$21,655</w:t>
            </w:r>
          </w:p>
        </w:tc>
        <w:tc>
          <w:tcPr>
            <w:tcW w:type="dxa" w:w="10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-$12,307</w:t>
            </w:r>
          </w:p>
        </w:tc>
        <w:tc>
          <w:tcPr>
            <w:tcW w:type="dxa" w:w="17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$130,476</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Generic 50kW Fixed Capacity Genset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$120,000</w:t>
            </w:r>
          </w:p>
        </w:tc>
        <w:tc>
          <w:tcPr>
            <w:tcW w:type="dxa" w:w="17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$1,234</w:t>
            </w:r>
          </w:p>
        </w:tc>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-$27,127</w:t>
            </w:r>
          </w:p>
        </w:tc>
        <w:tc>
          <w:tcPr>
            <w:tcW w:type="dxa" w:w="1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$94,107</w:t>
            </w:r>
          </w:p>
        </w:tc>
      </w:tr>
      <w:tr>
        <w:tc>
          <w:tcPr>
            <w:tcW w:type="dxa" w:w="2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Generic Electrolyzer (30 kW)</w:t>
            </w:r>
          </w:p>
        </w:tc>
        <w:tc>
          <w:tcPr>
            <w:tcW w:type="dxa" w:w="15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$45,000</w:t>
            </w:r>
          </w:p>
        </w:tc>
        <w:tc>
          <w:tcPr>
            <w:tcW w:type="dxa" w:w="17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$17,916</w:t>
            </w:r>
          </w:p>
        </w:tc>
        <w:tc>
          <w:tcPr>
            <w:tcW w:type="dxa" w:w="15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$11,549</w:t>
            </w:r>
          </w:p>
        </w:tc>
        <w:tc>
          <w:tcPr>
            <w:tcW w:type="dxa" w:w="10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-$3,751</w:t>
            </w:r>
          </w:p>
        </w:tc>
        <w:tc>
          <w:tcPr>
            <w:tcW w:type="dxa" w:w="17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$70,715</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Generic Flat Plate PV (200 kW)</w:t>
            </w:r>
          </w:p>
        </w:tc>
        <w:tc>
          <w:tcPr>
            <w:tcW w:type="dxa" w:w="15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$170,000</w:t>
            </w:r>
          </w:p>
        </w:tc>
        <w:tc>
          <w:tcPr>
            <w:tcW w:type="dxa" w:w="17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$43,310</w:t>
            </w:r>
          </w:p>
        </w:tc>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$0</w:t>
            </w:r>
          </w:p>
        </w:tc>
        <w:tc>
          <w:tcPr>
            <w:tcW w:type="dxa" w:w="1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$213,310</w:t>
            </w:r>
          </w:p>
        </w:tc>
      </w:tr>
      <w:tr>
        <w:tc>
          <w:tcPr>
            <w:tcW w:type="dxa" w:w="2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Hydrogen Tank (20 kg)</w:t>
            </w:r>
          </w:p>
        </w:tc>
        <w:tc>
          <w:tcPr>
            <w:tcW w:type="dxa" w:w="15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$20,000</w:t>
            </w:r>
          </w:p>
        </w:tc>
        <w:tc>
          <w:tcPr>
            <w:tcW w:type="dxa" w:w="17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$0</w:t>
            </w:r>
          </w:p>
        </w:tc>
        <w:tc>
          <w:tcPr>
            <w:tcW w:type="dxa" w:w="15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$867</w:t>
            </w:r>
          </w:p>
        </w:tc>
        <w:tc>
          <w:tcPr>
            <w:tcW w:type="dxa" w:w="10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$0</w:t>
            </w:r>
          </w:p>
        </w:tc>
        <w:tc>
          <w:tcPr>
            <w:tcW w:type="dxa" w:w="17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$20,867</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System Converter (50 kW)</w:t>
            </w:r>
          </w:p>
        </w:tc>
        <w:tc>
          <w:tcPr>
            <w:tcW w:type="dxa" w:w="15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$15,000</w:t>
            </w:r>
          </w:p>
        </w:tc>
        <w:tc>
          <w:tcPr>
            <w:tcW w:type="dxa" w:w="17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$5,972</w:t>
            </w:r>
          </w:p>
        </w:tc>
        <w:tc>
          <w:tcPr>
            <w:tcW w:type="dxa" w:w="15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$211,134</w:t>
            </w:r>
          </w:p>
        </w:tc>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-$1,250</w:t>
            </w:r>
          </w:p>
        </w:tc>
        <w:tc>
          <w:tcPr>
            <w:tcW w:type="dxa" w:w="1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val="false"/>
                <w:bCs w:val="false"/>
                <w:color w:val="1A1A1A"/>
                <w:sz w:val="18"/>
                <w:szCs w:val="18"/>
              </w:rPr>
              <w:t xml:space="preserve">$230,856</w:t>
            </w:r>
          </w:p>
        </w:tc>
      </w:tr>
      <w:tr>
        <w:tc>
          <w:tcPr>
            <w:tcW w:type="dxa" w:w="2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bCs/>
                <w:color w:val="1A3A5C"/>
                <w:sz w:val="18"/>
                <w:szCs w:val="18"/>
              </w:rPr>
              <w:t xml:space="preserve">SYSTEM TOTAL</w:t>
            </w:r>
          </w:p>
        </w:tc>
        <w:tc>
          <w:tcPr>
            <w:tcW w:type="dxa" w:w="15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1A1A1A"/>
                <w:sz w:val="18"/>
                <w:szCs w:val="18"/>
              </w:rPr>
              <w:t xml:space="preserve">$424,000</w:t>
            </w:r>
          </w:p>
        </w:tc>
        <w:tc>
          <w:tcPr>
            <w:tcW w:type="dxa" w:w="17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1A1A1A"/>
                <w:sz w:val="18"/>
                <w:szCs w:val="18"/>
              </w:rPr>
              <w:t xml:space="preserve">$91,016</w:t>
            </w:r>
          </w:p>
        </w:tc>
        <w:tc>
          <w:tcPr>
            <w:tcW w:type="dxa" w:w="15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1A1A1A"/>
                <w:sz w:val="18"/>
                <w:szCs w:val="18"/>
              </w:rPr>
              <w:t xml:space="preserve">$289,748</w:t>
            </w:r>
          </w:p>
        </w:tc>
        <w:tc>
          <w:tcPr>
            <w:tcW w:type="dxa" w:w="10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1A1A1A"/>
                <w:sz w:val="18"/>
                <w:szCs w:val="18"/>
              </w:rPr>
              <w:t xml:space="preserve">-$44,434</w:t>
            </w:r>
          </w:p>
        </w:tc>
        <w:tc>
          <w:tcPr>
            <w:tcW w:type="dxa" w:w="17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1A1A1A"/>
                <w:sz w:val="18"/>
                <w:szCs w:val="18"/>
              </w:rPr>
              <w:t xml:space="preserve">$760,330</w:t>
            </w:r>
          </w:p>
        </w:tc>
      </w:tr>
    </w:tbl>
    <w:p>
      <w:pPr>
        <w:spacing w:after="100" w:before="100"/>
      </w:pPr>
      <w:r>
        <w:t xml:space="preserve"/>
      </w:r>
    </w:p>
    <w:p>
      <w:pPr>
        <w:spacing w:after="80" w:before="60"/>
      </w:pPr>
      <w:r>
        <w:rPr>
          <w:rFonts w:ascii="Calibri" w:cs="Calibri" w:eastAsia="Calibri" w:hAnsi="Calibri"/>
          <w:color w:val="1A1A1A"/>
          <w:sz w:val="20"/>
          <w:szCs w:val="20"/>
        </w:rPr>
        <w:t xml:space="preserve">The two largest cost drivers are the System Converter ($230,856 NPC) and the Solar PV array ($213,310 NPC). The converter's high NPC is driven by a very large O&amp;M figure of $211,134, which warrants further investigation (see Section 6). The PV array has zero replacement cost, reflecting its 25-year assumed lifetime matching the project duration.</w:t>
      </w:r>
    </w:p>
    <w:p>
      <w:pPr>
        <w:spacing w:after="100" w:before="100"/>
      </w:pPr>
      <w:r>
        <w:t xml:space="preserve"/>
      </w:r>
    </w:p>
    <w:p>
      <w:pPr>
        <w:pStyle w:val="Heading1"/>
        <w:spacing w:after="160" w:before="360"/>
      </w:pPr>
      <w:r>
        <w:rPr>
          <w:rFonts w:ascii="Calibri" w:cs="Calibri" w:eastAsia="Calibri" w:hAnsi="Calibri"/>
          <w:b/>
          <w:bCs/>
          <w:color w:val="1A3A5C"/>
          <w:sz w:val="30"/>
          <w:szCs w:val="30"/>
        </w:rPr>
        <w:t xml:space="preserve">4. Power Generation &amp; Energy Flow Analysis</w:t>
      </w:r>
    </w:p>
    <w:p>
      <w:pPr>
        <w:pStyle w:val="Heading2"/>
        <w:spacing w:after="120" w:before="240"/>
      </w:pPr>
      <w:r>
        <w:rPr>
          <w:rFonts w:ascii="Calibri" w:cs="Calibri" w:eastAsia="Calibri" w:hAnsi="Calibri"/>
          <w:b/>
          <w:bCs/>
          <w:color w:val="0D7377"/>
          <w:sz w:val="24"/>
          <w:szCs w:val="24"/>
        </w:rPr>
        <w:t xml:space="preserve">4.1  Annual Power Source Profile</w:t>
      </w:r>
    </w:p>
    <w:p>
      <w:pPr>
        <w:spacing w:after="80" w:before="60"/>
      </w:pPr>
      <w:r>
        <w:rPr>
          <w:rFonts w:ascii="Calibri" w:cs="Calibri" w:eastAsia="Calibri" w:hAnsi="Calibri"/>
          <w:color w:val="1A1A1A"/>
          <w:sz w:val="20"/>
          <w:szCs w:val="20"/>
        </w:rPr>
        <w:t xml:space="preserve">The Time Series Detail Analysis (Power Sources view) shows the full-year hourly generation profile. Key observations from the annual power output chart:</w:t>
      </w:r>
    </w:p>
    <w:p>
      <w:pPr>
        <w:pStyle w:val="ListParagraph"/>
        <w:numPr>
          <w:ilvl w:val="0"/>
          <w:numId w:val="2"/>
        </w:numPr>
        <w:spacing w:after="50" w:before="50"/>
      </w:pPr>
      <w:r>
        <w:rPr>
          <w:rFonts w:ascii="Calibri" w:cs="Calibri" w:eastAsia="Calibri" w:hAnsi="Calibri"/>
          <w:color w:val="1A1A1A"/>
          <w:sz w:val="19"/>
          <w:szCs w:val="19"/>
        </w:rPr>
        <w:t xml:space="preserve">Solar PV (gold/amber) dominates generation throughout the year, providing the majority of daytime load coverage and battery charging.</w:t>
      </w:r>
    </w:p>
    <w:p>
      <w:pPr>
        <w:pStyle w:val="ListParagraph"/>
        <w:numPr>
          <w:ilvl w:val="0"/>
          <w:numId w:val="2"/>
        </w:numPr>
        <w:spacing w:after="50" w:before="50"/>
      </w:pPr>
      <w:r>
        <w:rPr>
          <w:rFonts w:ascii="Calibri" w:cs="Calibri" w:eastAsia="Calibri" w:hAnsi="Calibri"/>
          <w:color w:val="1A1A1A"/>
          <w:sz w:val="19"/>
          <w:szCs w:val="19"/>
        </w:rPr>
        <w:t xml:space="preserve">The Li-Ion battery bank (green) contributes significantly as a buffer, visible as a near-constant base-load contribution across all hours. The battery discharges overnight to serve the 24-hour critical cold room and control loads.</w:t>
      </w:r>
    </w:p>
    <w:p>
      <w:pPr>
        <w:pStyle w:val="ListParagraph"/>
        <w:numPr>
          <w:ilvl w:val="0"/>
          <w:numId w:val="2"/>
        </w:numPr>
        <w:spacing w:after="50" w:before="50"/>
      </w:pPr>
      <w:r>
        <w:rPr>
          <w:rFonts w:ascii="Calibri" w:cs="Calibri" w:eastAsia="Calibri" w:hAnsi="Calibri"/>
          <w:color w:val="1A1A1A"/>
          <w:sz w:val="19"/>
          <w:szCs w:val="19"/>
        </w:rPr>
        <w:t xml:space="preserve">The diesel generator (orange) activates periodically — particularly during periods of low solar availability — confirming that the system is not yet fully renewable.</w:t>
      </w:r>
    </w:p>
    <w:p>
      <w:pPr>
        <w:pStyle w:val="ListParagraph"/>
        <w:numPr>
          <w:ilvl w:val="0"/>
          <w:numId w:val="2"/>
        </w:numPr>
        <w:spacing w:after="50" w:before="50"/>
      </w:pPr>
      <w:r>
        <w:rPr>
          <w:rFonts w:ascii="Calibri" w:cs="Calibri" w:eastAsia="Calibri" w:hAnsi="Calibri"/>
          <w:color w:val="1A1A1A"/>
          <w:sz w:val="19"/>
          <w:szCs w:val="19"/>
        </w:rPr>
        <w:t xml:space="preserve">Total electrical load served (blue line) remains consistently within the 50–175 kW range throughout the year, reflecting the combination of continuous critical loads and intermittent daytime operational loads.</w:t>
      </w:r>
    </w:p>
    <w:p>
      <w:pPr>
        <w:spacing w:after="100" w:before="100"/>
      </w:pPr>
      <w:r>
        <w:t xml:space="preserve"/>
      </w:r>
    </w:p>
    <w:p>
      <w:pPr>
        <w:pStyle w:val="Heading2"/>
        <w:spacing w:after="120" w:before="240"/>
      </w:pPr>
      <w:r>
        <w:rPr>
          <w:rFonts w:ascii="Calibri" w:cs="Calibri" w:eastAsia="Calibri" w:hAnsi="Calibri"/>
          <w:b/>
          <w:bCs/>
          <w:color w:val="0D7377"/>
          <w:sz w:val="24"/>
          <w:szCs w:val="24"/>
        </w:rPr>
        <w:t xml:space="preserve">4.2  Electrolyzer Performance Analysis</w:t>
      </w:r>
    </w:p>
    <w:p>
      <w:pPr>
        <w:spacing w:after="80" w:before="60"/>
      </w:pPr>
      <w:r>
        <w:rPr>
          <w:rFonts w:ascii="Calibri" w:cs="Calibri" w:eastAsia="Calibri" w:hAnsi="Calibri"/>
          <w:color w:val="1A1A1A"/>
          <w:sz w:val="20"/>
          <w:szCs w:val="20"/>
        </w:rPr>
        <w:t xml:space="preserve">The Electrolyzer Output (lower panel of the time series plot) reveals a critical finding: the electrolyzer is operating in a highly intermittent, sparse pattern rather than the intended 8-hour daily operation.</w:t>
      </w:r>
    </w:p>
    <w:p>
      <w:pPr>
        <w:spacing w:after="80" w:before="60"/>
      </w:pPr>
      <w:r>
        <w:rPr>
          <w:rFonts w:ascii="Calibri" w:cs="Calibri" w:eastAsia="Calibri" w:hAnsi="Calibri"/>
          <w:color w:val="1A1A1A"/>
          <w:sz w:val="20"/>
          <w:szCs w:val="20"/>
        </w:rPr>
        <w:t xml:space="preserve">Key observations:</w:t>
      </w:r>
    </w:p>
    <w:p>
      <w:pPr>
        <w:pStyle w:val="ListParagraph"/>
        <w:numPr>
          <w:ilvl w:val="0"/>
          <w:numId w:val="2"/>
        </w:numPr>
        <w:spacing w:after="50" w:before="50"/>
      </w:pPr>
      <w:r>
        <w:rPr>
          <w:rFonts w:ascii="Calibri" w:cs="Calibri" w:eastAsia="Calibri" w:hAnsi="Calibri"/>
          <w:color w:val="1A1A1A"/>
          <w:sz w:val="19"/>
          <w:szCs w:val="19"/>
        </w:rPr>
        <w:t xml:space="preserve">The electrolyzer reaches peak output of approximately 0.55 kg/hr during operation periods.</w:t>
      </w:r>
    </w:p>
    <w:p>
      <w:pPr>
        <w:pStyle w:val="ListParagraph"/>
        <w:numPr>
          <w:ilvl w:val="0"/>
          <w:numId w:val="2"/>
        </w:numPr>
        <w:spacing w:after="50" w:before="50"/>
      </w:pPr>
      <w:r>
        <w:rPr>
          <w:rFonts w:ascii="Calibri" w:cs="Calibri" w:eastAsia="Calibri" w:hAnsi="Calibri"/>
          <w:color w:val="1A1A1A"/>
          <w:sz w:val="19"/>
          <w:szCs w:val="19"/>
        </w:rPr>
        <w:t xml:space="preserve">Operation events are scattered across the year with long gaps, concentrated in January, late March, April, May, June, late October, November, and December.</w:t>
      </w:r>
    </w:p>
    <w:p>
      <w:pPr>
        <w:pStyle w:val="ListParagraph"/>
        <w:numPr>
          <w:ilvl w:val="0"/>
          <w:numId w:val="2"/>
        </w:numPr>
        <w:spacing w:after="50" w:before="50"/>
      </w:pPr>
      <w:r>
        <w:rPr>
          <w:rFonts w:ascii="Calibri" w:cs="Calibri" w:eastAsia="Calibri" w:hAnsi="Calibri"/>
          <w:color w:val="1A1A1A"/>
          <w:sz w:val="19"/>
          <w:szCs w:val="19"/>
        </w:rPr>
        <w:t xml:space="preserve">The pattern suggests the electrolyzer is not being dispatched as a priority deferrable load — likely because available excess solar energy is insufficient to consistently power the 30 kW electrolyzer after meeting primary loads.</w:t>
      </w:r>
    </w:p>
    <w:p>
      <w:pPr>
        <w:pStyle w:val="ListParagraph"/>
        <w:numPr>
          <w:ilvl w:val="0"/>
          <w:numId w:val="2"/>
        </w:numPr>
        <w:spacing w:after="50" w:before="50"/>
      </w:pPr>
      <w:r>
        <w:rPr>
          <w:rFonts w:ascii="Calibri" w:cs="Calibri" w:eastAsia="Calibri" w:hAnsi="Calibri"/>
          <w:color w:val="1A1A1A"/>
          <w:sz w:val="19"/>
          <w:szCs w:val="19"/>
        </w:rPr>
        <w:t xml:space="preserve">Annual hydrogen production is well below the target of approximately 5 kg/day, indicating the current system sizing is insufficient for the hydrogen production objective.</w:t>
      </w:r>
    </w:p>
    <w:p>
      <w:pPr>
        <w:pBdr>
          <w:left w:val="single" w:color="D4860B" w:sz="4" w:space="1"/>
        </w:pBdr>
        <w:spacing w:after="80" w:before="80"/>
        <w:ind w:left="360"/>
      </w:pPr>
      <w:r>
        <w:rPr>
          <w:rFonts w:ascii="Calibri" w:cs="Calibri" w:eastAsia="Calibri" w:hAnsi="Calibri"/>
          <w:i/>
          <w:iCs/>
          <w:color w:val="444444"/>
          <w:sz w:val="18"/>
          <w:szCs w:val="18"/>
        </w:rPr>
        <w:t xml:space="preserve">This is a significant design gap. The hydrogen production subsystem requires dedicated redesign — either through increased PV capacity, revised electrolyzer dispatch logic, or a dedicated PV array for hydrogen production.</w:t>
      </w:r>
    </w:p>
    <w:p>
      <w:pPr>
        <w:spacing w:after="100" w:before="100"/>
      </w:pPr>
      <w:r>
        <w:t xml:space="preserve"/>
      </w:r>
    </w:p>
    <w:p>
      <w:pPr>
        <w:pStyle w:val="Heading1"/>
        <w:spacing w:after="160" w:before="360"/>
      </w:pPr>
      <w:r>
        <w:rPr>
          <w:rFonts w:ascii="Calibri" w:cs="Calibri" w:eastAsia="Calibri" w:hAnsi="Calibri"/>
          <w:b/>
          <w:bCs/>
          <w:color w:val="1A3A5C"/>
          <w:sz w:val="30"/>
          <w:szCs w:val="30"/>
        </w:rPr>
        <w:t xml:space="preserve">5. Seasonal Performance – AWG Load Integration</w:t>
      </w:r>
    </w:p>
    <w:p>
      <w:pPr>
        <w:spacing w:after="80" w:before="60"/>
      </w:pPr>
      <w:r>
        <w:rPr>
          <w:rFonts w:ascii="Calibri" w:cs="Calibri" w:eastAsia="Calibri" w:hAnsi="Calibri"/>
          <w:color w:val="1A1A1A"/>
          <w:sz w:val="20"/>
          <w:szCs w:val="20"/>
        </w:rPr>
        <w:t xml:space="preserve">The AWG load was successfully integrated as a seasonal full-year load profile rather than as a separate model. As visible in the HOMER Yearly Load Data panel, the AWG load of 1.2 kW activates in March through May and October through December — the typical rainy season months for Merti, Isiolo County.</w:t>
      </w:r>
    </w:p>
    <w:p>
      <w:pPr>
        <w:spacing w:after="80" w:before="60"/>
      </w:pPr>
      <w:r>
        <w:rPr>
          <w:rFonts w:ascii="Calibri" w:cs="Calibri" w:eastAsia="Calibri" w:hAnsi="Calibri"/>
          <w:color w:val="1A1A1A"/>
          <w:sz w:val="20"/>
          <w:szCs w:val="20"/>
        </w:rPr>
        <w:t xml:space="preserve">The Scaled Annual Average for the AWG load is 14.52 kWh/day (averaging across months with and without AWG operation), with a peak of 2.2 kW. The seasonal profile shows elevated load in the green-shaded months, consistent with the design intent.</w:t>
      </w:r>
    </w:p>
    <w:p>
      <w:pPr>
        <w:spacing w:after="80" w:before="60"/>
      </w:pPr>
      <w:r>
        <w:rPr>
          <w:rFonts w:ascii="Calibri" w:cs="Calibri" w:eastAsia="Calibri" w:hAnsi="Calibri"/>
          <w:color w:val="1A1A1A"/>
          <w:sz w:val="20"/>
          <w:szCs w:val="20"/>
        </w:rPr>
        <w:t xml:space="preserve">This full-year integrated approach is more representative of actual system operation than separate dry/rainy season models and is the recommended approach for all future simulations.</w:t>
      </w:r>
    </w:p>
    <w:p>
      <w:pPr>
        <w:spacing w:after="100" w:before="100"/>
      </w:pPr>
      <w:r>
        <w:t xml:space="preserve"/>
      </w:r>
    </w:p>
    <w:p>
      <w:r>
        <w:br w:type="page"/>
      </w:r>
    </w:p>
    <w:p>
      <w:pPr>
        <w:pStyle w:val="Heading1"/>
        <w:spacing w:after="160" w:before="360"/>
      </w:pPr>
      <w:r>
        <w:rPr>
          <w:rFonts w:ascii="Calibri" w:cs="Calibri" w:eastAsia="Calibri" w:hAnsi="Calibri"/>
          <w:b/>
          <w:bCs/>
          <w:color w:val="1A3A5C"/>
          <w:sz w:val="30"/>
          <w:szCs w:val="30"/>
        </w:rPr>
        <w:t xml:space="preserve">6. Simulation Warnings &amp; Issues Identified</w:t>
      </w:r>
    </w:p>
    <w:p>
      <w:pPr>
        <w:spacing w:after="80" w:before="60"/>
      </w:pPr>
      <w:r>
        <w:rPr>
          <w:rFonts w:ascii="Calibri" w:cs="Calibri" w:eastAsia="Calibri" w:hAnsi="Calibri"/>
          <w:color w:val="1A1A1A"/>
          <w:sz w:val="20"/>
          <w:szCs w:val="20"/>
        </w:rPr>
        <w:t xml:space="preserve">HOMER Pro flagged three warnings during the simulation (visible in the Suggestions panel). These are summarised below with their implications and recommended remediation: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HOMER Warning</w:t>
            </w:r>
          </w:p>
        </w:tc>
        <w:tc>
          <w:tcPr>
            <w:tcW w:type="dxa" w:w="35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Implication</w:t>
            </w:r>
          </w:p>
        </w:tc>
        <w:tc>
          <w:tcPr>
            <w:tcW w:type="dxa" w:w="326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Recommended Action</w:t>
            </w:r>
          </w:p>
        </w:tc>
      </w:tr>
      <w:tr>
        <w:tc>
          <w:tcPr>
            <w:tcW w:type="dxa" w:w="2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Converter search space may be insufficient</w:t>
            </w:r>
          </w:p>
        </w:tc>
        <w:tc>
          <w:tcPr>
            <w:tcW w:type="dxa" w:w="35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Current 50 kW converter may be undersized for peak loads exceeding 50 kW during simultaneous electrolyzer and critical load operation</w:t>
            </w:r>
          </w:p>
        </w:tc>
        <w:tc>
          <w:tcPr>
            <w:tcW w:type="dxa" w:w="32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Expand converter search space to 50–150 kW in next simulation run</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Gen50 fuel curve may be incomplete</w:t>
            </w:r>
          </w:p>
        </w:tc>
        <w:tc>
          <w:tcPr>
            <w:tcW w:type="dxa" w:w="35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Generator efficiency curve may not be accurately modelled, affecting dispatch and fuel cost results</w:t>
            </w:r>
          </w:p>
        </w:tc>
        <w:tc>
          <w:tcPr>
            <w:tcW w:type="dxa" w:w="32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Verify and update the fuel consumption curve for the 50 kW genset</w:t>
            </w:r>
          </w:p>
        </w:tc>
      </w:tr>
      <w:tr>
        <w:tc>
          <w:tcPr>
            <w:tcW w:type="dxa" w:w="2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PV search space may be insufficient</w:t>
            </w:r>
          </w:p>
        </w:tc>
        <w:tc>
          <w:tcPr>
            <w:tcW w:type="dxa" w:w="35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200 kW PV may not be the true optimum — HOMER could not explore larger arrays</w:t>
            </w:r>
          </w:p>
        </w:tc>
        <w:tc>
          <w:tcPr>
            <w:tcW w:type="dxa" w:w="32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Expand PV search space to 100–500 kW and re-run optimisation</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Electrolyzer operating intermittently</w:t>
            </w:r>
          </w:p>
        </w:tc>
        <w:tc>
          <w:tcPr>
            <w:tcW w:type="dxa" w:w="35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Hydrogen production is sporadic — occurring in ~10–15 discrete periods across the year — not continuous as designed</w:t>
            </w:r>
          </w:p>
        </w:tc>
        <w:tc>
          <w:tcPr>
            <w:tcW w:type="dxa" w:w="32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Review electrolyzer dispatch settings and deferrable load scheduling</w:t>
            </w:r>
          </w:p>
        </w:tc>
      </w:tr>
    </w:tbl>
    <w:p>
      <w:pPr>
        <w:spacing w:after="100" w:before="100"/>
      </w:pPr>
      <w:r>
        <w:t xml:space="preserve"/>
      </w:r>
    </w:p>
    <w:p>
      <w:pPr>
        <w:spacing w:after="80" w:before="60"/>
      </w:pPr>
      <w:r>
        <w:rPr>
          <w:rFonts w:ascii="Calibri" w:cs="Calibri" w:eastAsia="Calibri" w:hAnsi="Calibri"/>
          <w:color w:val="1A1A1A"/>
          <w:sz w:val="20"/>
          <w:szCs w:val="20"/>
        </w:rPr>
        <w:t xml:space="preserve">In addition, the high O&amp;M cost for the System Converter ($211,134 over 25 years — equivalent to approximately $8,445/year) appears inconsistent with typical converter maintenance costs and should be verified against actual O&amp;M cost inputs used in the model.</w:t>
      </w:r>
    </w:p>
    <w:p>
      <w:pPr>
        <w:spacing w:after="100" w:before="100"/>
      </w:pPr>
      <w:r>
        <w:t xml:space="preserve"/>
      </w:r>
    </w:p>
    <w:p>
      <w:pPr>
        <w:pStyle w:val="Heading1"/>
        <w:spacing w:after="160" w:before="360"/>
      </w:pPr>
      <w:r>
        <w:rPr>
          <w:rFonts w:ascii="Calibri" w:cs="Calibri" w:eastAsia="Calibri" w:hAnsi="Calibri"/>
          <w:b/>
          <w:bCs/>
          <w:color w:val="1A3A5C"/>
          <w:sz w:val="30"/>
          <w:szCs w:val="30"/>
        </w:rPr>
        <w:t xml:space="preserve">7. Recommended Next Steps for System Optimisation</w:t>
      </w:r>
    </w:p>
    <w:p>
      <w:pPr>
        <w:spacing w:after="80" w:before="60"/>
      </w:pPr>
      <w:r>
        <w:rPr>
          <w:rFonts w:ascii="Calibri" w:cs="Calibri" w:eastAsia="Calibri" w:hAnsi="Calibri"/>
          <w:color w:val="1A1A1A"/>
          <w:sz w:val="20"/>
          <w:szCs w:val="20"/>
        </w:rPr>
        <w:t xml:space="preserve">The following actions are recommended before the results of this HOMER model can be considered final and suitable for proposal documentation: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100"/>
        <w:gridCol w:w="2260"/>
      </w:tblGrid>
      <w:tr>
        <w:trPr>
          <w:tblHeader/>
        </w:trPr>
        <w:tc>
          <w:tcPr>
            <w:tcW w:type="dxa" w:w="6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w:t>
            </w:r>
          </w:p>
        </w:tc>
        <w:tc>
          <w:tcPr>
            <w:tcW w:type="dxa" w:w="24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Action</w:t>
            </w:r>
          </w:p>
        </w:tc>
        <w:tc>
          <w:tcPr>
            <w:tcW w:type="dxa" w:w="410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Description</w:t>
            </w:r>
          </w:p>
        </w:tc>
        <w:tc>
          <w:tcPr>
            <w:tcW w:type="dxa" w:w="2260"/>
            <w:tcBorders>
              <w:top w:val="single" w:color="0D7377" w:sz="1"/>
              <w:left w:val="single" w:color="0D7377" w:sz="1"/>
              <w:bottom w:val="single" w:color="0D7377" w:sz="1"/>
              <w:right w:val="single" w:color="0D7377" w:sz="1"/>
            </w:tcBorders>
            <w:shd w:fill="1A3A5C"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Priority</w:t>
            </w:r>
          </w:p>
        </w:tc>
      </w:tr>
      <w:tr>
        <w:tc>
          <w:tcPr>
            <w:tcW w:type="dxa" w:w="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1A3A5C"/>
                <w:sz w:val="18"/>
                <w:szCs w:val="18"/>
              </w:rPr>
              <w:t xml:space="preserve">1</w:t>
            </w:r>
          </w:p>
        </w:tc>
        <w:tc>
          <w:tcPr>
            <w:tcW w:type="dxa" w:w="2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bCs/>
                <w:color w:val="1A1A1A"/>
                <w:sz w:val="18"/>
                <w:szCs w:val="18"/>
              </w:rPr>
              <w:t xml:space="preserve">Expand Component Search Spaces</w:t>
            </w:r>
          </w:p>
        </w:tc>
        <w:tc>
          <w:tcPr>
            <w:tcW w:type="dxa" w:w="41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Increase PV (100–500 kW), converter (50–150 kW), and battery (100–400 kWh) search ranges to allow HOMER to find the true optimal configuration</w:t>
            </w:r>
          </w:p>
        </w:tc>
        <w:tc>
          <w:tcPr>
            <w:tcW w:type="dxa" w:w="22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C0392B"/>
                <w:sz w:val="18"/>
                <w:szCs w:val="18"/>
              </w:rPr>
              <w:t xml:space="preserve">High</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bCs/>
                <w:color w:val="1A3A5C"/>
                <w:sz w:val="18"/>
                <w:szCs w:val="18"/>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bCs/>
                <w:color w:val="1A1A1A"/>
                <w:sz w:val="18"/>
                <w:szCs w:val="18"/>
              </w:rPr>
              <w:t xml:space="preserve">Fix Generator Fuel Curve</w:t>
            </w:r>
          </w:p>
        </w:tc>
        <w:tc>
          <w:tcPr>
            <w:tcW w:type="dxa" w:w="41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Update the Gen50 fuel consumption curve to accurately reflect real-world generator performance and fuel cost modelling</w:t>
            </w:r>
          </w:p>
        </w:tc>
        <w:tc>
          <w:tcPr>
            <w:tcW w:type="dxa" w:w="22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bCs/>
                <w:color w:val="C0392B"/>
                <w:sz w:val="18"/>
                <w:szCs w:val="18"/>
              </w:rPr>
              <w:t xml:space="preserve">High</w:t>
            </w:r>
          </w:p>
        </w:tc>
      </w:tr>
      <w:tr>
        <w:tc>
          <w:tcPr>
            <w:tcW w:type="dxa" w:w="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1A3A5C"/>
                <w:sz w:val="18"/>
                <w:szCs w:val="18"/>
              </w:rPr>
              <w:t xml:space="preserve">3</w:t>
            </w:r>
          </w:p>
        </w:tc>
        <w:tc>
          <w:tcPr>
            <w:tcW w:type="dxa" w:w="2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bCs/>
                <w:color w:val="1A1A1A"/>
                <w:sz w:val="18"/>
                <w:szCs w:val="18"/>
              </w:rPr>
              <w:t xml:space="preserve">Review Electrolyzer Dispatch</w:t>
            </w:r>
          </w:p>
        </w:tc>
        <w:tc>
          <w:tcPr>
            <w:tcW w:type="dxa" w:w="41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Change electrolyzer from a deferrable load to a controlled dispatch strategy to ensure continuous and predictable hydrogen production</w:t>
            </w:r>
          </w:p>
        </w:tc>
        <w:tc>
          <w:tcPr>
            <w:tcW w:type="dxa" w:w="22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C0392B"/>
                <w:sz w:val="18"/>
                <w:szCs w:val="18"/>
              </w:rPr>
              <w:t xml:space="preserve">High</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bCs/>
                <w:color w:val="1A3A5C"/>
                <w:sz w:val="18"/>
                <w:szCs w:val="18"/>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bCs/>
                <w:color w:val="1A1A1A"/>
                <w:sz w:val="18"/>
                <w:szCs w:val="18"/>
              </w:rPr>
              <w:t xml:space="preserve">Re-run Optimisation</w:t>
            </w:r>
          </w:p>
        </w:tc>
        <w:tc>
          <w:tcPr>
            <w:tcW w:type="dxa" w:w="41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After correcting warnings and expanding search spaces, re-run the full HOMER optimisation to obtain reliable results</w:t>
            </w:r>
          </w:p>
        </w:tc>
        <w:tc>
          <w:tcPr>
            <w:tcW w:type="dxa" w:w="22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bCs/>
                <w:color w:val="C0392B"/>
                <w:sz w:val="18"/>
                <w:szCs w:val="18"/>
              </w:rPr>
              <w:t xml:space="preserve">High</w:t>
            </w:r>
          </w:p>
        </w:tc>
      </w:tr>
      <w:tr>
        <w:tc>
          <w:tcPr>
            <w:tcW w:type="dxa" w:w="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1A3A5C"/>
                <w:sz w:val="18"/>
                <w:szCs w:val="18"/>
              </w:rPr>
              <w:t xml:space="preserve">5</w:t>
            </w:r>
          </w:p>
        </w:tc>
        <w:tc>
          <w:tcPr>
            <w:tcW w:type="dxa" w:w="2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bCs/>
                <w:color w:val="1A1A1A"/>
                <w:sz w:val="18"/>
                <w:szCs w:val="18"/>
              </w:rPr>
              <w:t xml:space="preserve">Model Borehole System</w:t>
            </w:r>
          </w:p>
        </w:tc>
        <w:tc>
          <w:tcPr>
            <w:tcW w:type="dxa" w:w="41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Create an independent HOMER model for a single borehole (27 kWh/day) and replicate for all 5 boreholes</w:t>
            </w:r>
          </w:p>
        </w:tc>
        <w:tc>
          <w:tcPr>
            <w:tcW w:type="dxa" w:w="22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D4860B"/>
                <w:sz w:val="18"/>
                <w:szCs w:val="18"/>
              </w:rPr>
              <w:t xml:space="preserve">Medium</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bCs/>
                <w:color w:val="1A3A5C"/>
                <w:sz w:val="18"/>
                <w:szCs w:val="18"/>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bCs/>
                <w:color w:val="1A1A1A"/>
                <w:sz w:val="18"/>
                <w:szCs w:val="18"/>
              </w:rPr>
              <w:t xml:space="preserve">Sensitivity Analysis</w:t>
            </w:r>
          </w:p>
        </w:tc>
        <w:tc>
          <w:tcPr>
            <w:tcW w:type="dxa" w:w="41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Add sensitivity variables for solar resource (PSH ±0.5 hrs), battery cost (±20%), and diesel price to quantify risk</w:t>
            </w:r>
          </w:p>
        </w:tc>
        <w:tc>
          <w:tcPr>
            <w:tcW w:type="dxa" w:w="22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bCs/>
                <w:color w:val="D4860B"/>
                <w:sz w:val="18"/>
                <w:szCs w:val="18"/>
              </w:rPr>
              <w:t xml:space="preserve">Medium</w:t>
            </w:r>
          </w:p>
        </w:tc>
      </w:tr>
      <w:tr>
        <w:tc>
          <w:tcPr>
            <w:tcW w:type="dxa" w:w="6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1A3A5C"/>
                <w:sz w:val="18"/>
                <w:szCs w:val="18"/>
              </w:rPr>
              <w:t xml:space="preserve">7</w:t>
            </w:r>
          </w:p>
        </w:tc>
        <w:tc>
          <w:tcPr>
            <w:tcW w:type="dxa" w:w="24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bCs/>
                <w:color w:val="1A1A1A"/>
                <w:sz w:val="18"/>
                <w:szCs w:val="18"/>
              </w:rPr>
              <w:t xml:space="preserve">Seasonal Validation</w:t>
            </w:r>
          </w:p>
        </w:tc>
        <w:tc>
          <w:tcPr>
            <w:tcW w:type="dxa" w:w="410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Validate AWG load seasonal profile against actual rainfall calendar for Merti, Isiolo County</w:t>
            </w:r>
          </w:p>
        </w:tc>
        <w:tc>
          <w:tcPr>
            <w:tcW w:type="dxa" w:w="2260"/>
            <w:tcBorders>
              <w:top w:val="single" w:color="BBBBBB" w:sz="1"/>
              <w:left w:val="single" w:color="BBBBBB" w:sz="1"/>
              <w:bottom w:val="single" w:color="BBBBBB" w:sz="1"/>
              <w:right w:val="single" w:color="BBBBBB" w:sz="1"/>
            </w:tcBorders>
            <w:shd w:fill="F0F5FA" w:val="clear"/>
            <w:tcMar>
              <w:top w:type="dxa" w:w="70"/>
              <w:left w:type="dxa" w:w="130"/>
              <w:bottom w:type="dxa" w:w="70"/>
              <w:right w:type="dxa" w:w="130"/>
            </w:tcMar>
          </w:tcPr>
          <w:p>
            <w:pPr>
              <w:jc w:val="center"/>
            </w:pPr>
            <w:r>
              <w:rPr>
                <w:rFonts w:ascii="Calibri" w:cs="Calibri" w:eastAsia="Calibri" w:hAnsi="Calibri"/>
                <w:b/>
                <w:bCs/>
                <w:color w:val="D4860B"/>
                <w:sz w:val="18"/>
                <w:szCs w:val="18"/>
              </w:rPr>
              <w:t xml:space="preserve">Medium</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bCs/>
                <w:color w:val="1A3A5C"/>
                <w:sz w:val="18"/>
                <w:szCs w:val="18"/>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bCs/>
                <w:color w:val="1A1A1A"/>
                <w:sz w:val="18"/>
                <w:szCs w:val="18"/>
              </w:rPr>
              <w:t xml:space="preserve">Economic Deep-Dive</w:t>
            </w:r>
          </w:p>
        </w:tc>
        <w:tc>
          <w:tcPr>
            <w:tcW w:type="dxa" w:w="41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left"/>
            </w:pPr>
            <w:r>
              <w:rPr>
                <w:rFonts w:ascii="Calibri" w:cs="Calibri" w:eastAsia="Calibri" w:hAnsi="Calibri"/>
                <w:b w:val="false"/>
                <w:bCs w:val="false"/>
                <w:color w:val="1A1A1A"/>
                <w:sz w:val="18"/>
                <w:szCs w:val="18"/>
              </w:rPr>
              <w:t xml:space="preserve">Investigate the high system converter O&amp;M cost ($211,134 over 25 years) — verify assumptions and consider alternative converter sizing</w:t>
            </w:r>
          </w:p>
        </w:tc>
        <w:tc>
          <w:tcPr>
            <w:tcW w:type="dxa" w:w="22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pPr>
              <w:jc w:val="center"/>
            </w:pPr>
            <w:r>
              <w:rPr>
                <w:rFonts w:ascii="Calibri" w:cs="Calibri" w:eastAsia="Calibri" w:hAnsi="Calibri"/>
                <w:b/>
                <w:bCs/>
                <w:color w:val="D4860B"/>
                <w:sz w:val="18"/>
                <w:szCs w:val="18"/>
              </w:rPr>
              <w:t xml:space="preserve">Medium</w:t>
            </w:r>
          </w:p>
        </w:tc>
      </w:tr>
    </w:tbl>
    <w:p>
      <w:pPr>
        <w:spacing w:after="100" w:before="100"/>
      </w:pPr>
      <w:r>
        <w:t xml:space="preserve"/>
      </w:r>
    </w:p>
    <w:p>
      <w:pPr>
        <w:pBdr>
          <w:left w:val="single" w:color="D4860B" w:sz="4" w:space="1"/>
        </w:pBdr>
        <w:spacing w:after="80" w:before="80"/>
        <w:ind w:left="360"/>
      </w:pPr>
      <w:r>
        <w:rPr>
          <w:rFonts w:ascii="Calibri" w:cs="Calibri" w:eastAsia="Calibri" w:hAnsi="Calibri"/>
          <w:i/>
          <w:iCs/>
          <w:color w:val="444444"/>
          <w:sz w:val="18"/>
          <w:szCs w:val="18"/>
        </w:rPr>
        <w:t xml:space="preserve">The borehole system models will be developed and presented as a separate workstream. Each of the 5 boreholes requires an independent HOMER model (direct solar pumping, no battery, ~27 kWh/day per borehole).</w:t>
      </w:r>
    </w:p>
    <w:p>
      <w:pPr>
        <w:spacing w:after="100" w:before="100"/>
      </w:pPr>
      <w:r>
        <w:t xml:space="preserve"/>
      </w:r>
    </w:p>
    <w:p>
      <w:pPr>
        <w:pStyle w:val="Heading1"/>
        <w:spacing w:after="160" w:before="360"/>
      </w:pPr>
      <w:r>
        <w:rPr>
          <w:rFonts w:ascii="Calibri" w:cs="Calibri" w:eastAsia="Calibri" w:hAnsi="Calibri"/>
          <w:b/>
          <w:bCs/>
          <w:color w:val="1A3A5C"/>
          <w:sz w:val="30"/>
          <w:szCs w:val="30"/>
        </w:rPr>
        <w:t xml:space="preserve">8. Conclusions</w:t>
      </w:r>
    </w:p>
    <w:p>
      <w:pPr>
        <w:spacing w:after="80" w:before="60"/>
      </w:pPr>
      <w:r>
        <w:rPr>
          <w:rFonts w:ascii="Calibri" w:cs="Calibri" w:eastAsia="Calibri" w:hAnsi="Calibri"/>
          <w:color w:val="1A1A1A"/>
          <w:sz w:val="20"/>
          <w:szCs w:val="20"/>
        </w:rPr>
        <w:t xml:space="preserve">This first HOMER Pro simulation of the Shepa Central Hub system establishes a baseline configuration and demonstrates the general feasibility of a solar-battery-hydrogen hybrid system for the Merti, Isiolo site. The system successfully models a full-year integrated load profile including seasonal AWG operation.</w:t>
      </w:r>
    </w:p>
    <w:p>
      <w:pPr>
        <w:spacing w:after="80" w:before="60"/>
      </w:pPr>
      <w:r>
        <w:rPr>
          <w:rFonts w:ascii="Calibri" w:cs="Calibri" w:eastAsia="Calibri" w:hAnsi="Calibri"/>
          <w:color w:val="1A1A1A"/>
          <w:sz w:val="20"/>
          <w:szCs w:val="20"/>
        </w:rPr>
        <w:t xml:space="preserve">However, three HOMER warnings indicate that the current search spaces are too narrow to confirm this as the optimal system design. The most critical finding is that the electrolyzer is not operating continuously as intended, suggesting insufficient PV capacity and/or inadequate deferrable load dispatch settings.</w:t>
      </w:r>
    </w:p>
    <w:p>
      <w:pPr>
        <w:spacing w:after="80" w:before="60"/>
      </w:pPr>
      <w:r>
        <w:rPr>
          <w:rFonts w:ascii="Calibri" w:cs="Calibri" w:eastAsia="Calibri" w:hAnsi="Calibri"/>
          <w:color w:val="1A1A1A"/>
          <w:sz w:val="20"/>
          <w:szCs w:val="20"/>
        </w:rPr>
        <w:t xml:space="preserve">A refined simulation — with expanded search spaces, corrected component parameters, and revised electrolyzer dispatch logic — is required as the immediate next step. Results from that simulation will form the basis of the Shepa project proposal documentation.</w:t>
      </w:r>
    </w:p>
    <w:p>
      <w:pPr>
        <w:spacing w:after="100" w:before="100"/>
      </w:pPr>
      <w:r>
        <w:t xml:space="preserve"/>
      </w:r>
    </w:p>
    <w:p>
      <w:pPr>
        <w:pBdr>
          <w:top w:val="single" w:color="1A3A5C" w:sz="4" w:space="1"/>
        </w:pBdr>
        <w:spacing w:after="80" w:before="240"/>
      </w:pPr>
      <w:r>
        <w:t xml:space="preserve"/>
      </w:r>
    </w:p>
    <w:p>
      <w:pPr>
        <w:jc w:val="center"/>
      </w:pPr>
      <w:r>
        <w:rPr>
          <w:rFonts w:ascii="Calibri" w:cs="Calibri" w:eastAsia="Calibri" w:hAnsi="Calibri"/>
          <w:color w:val="888888"/>
          <w:sz w:val="16"/>
          <w:szCs w:val="16"/>
        </w:rPr>
        <w:t xml:space="preserve">Shepa Project  |  Central Hub HOMER Pro Simulation Results Report  |  Version 1.0  |  Cassandra Lelei</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3A5C"/>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2026-04-17T05:33:29.922Z</dcterms:created>
  <dcterms:modified xsi:type="dcterms:W3CDTF">2026-04-17T05:33:29.923Z</dcterms:modified>
</cp:coreProperties>
</file>

<file path=docProps/custom.xml><?xml version="1.0" encoding="utf-8"?>
<Properties xmlns="http://schemas.openxmlformats.org/officeDocument/2006/custom-properties" xmlns:vt="http://schemas.openxmlformats.org/officeDocument/2006/docPropsVTypes"/>
</file>