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34A4" w14:textId="77777777" w:rsidR="008D4B02" w:rsidRPr="008D4B02" w:rsidRDefault="008D4B02" w:rsidP="008D4B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4B02">
        <w:rPr>
          <w:rFonts w:ascii="Times New Roman" w:eastAsia="Times New Roman" w:hAnsi="Times New Roman" w:cs="Times New Roman"/>
          <w:b/>
          <w:bCs/>
          <w:kern w:val="36"/>
          <w:sz w:val="48"/>
          <w:szCs w:val="48"/>
          <w14:ligatures w14:val="none"/>
        </w:rPr>
        <w:t>Pfizer's AI Transformation: From Pharmaceutical Giant to AI-Enabled Medicine Platform</w:t>
      </w:r>
    </w:p>
    <w:p w14:paraId="525366FF"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i/>
          <w:iCs/>
          <w:kern w:val="0"/>
          <w14:ligatures w14:val="none"/>
        </w:rPr>
        <w:t>ITEC-617 — Information and Technology | American University, Kogod School of Business</w:t>
      </w:r>
      <w:r w:rsidRPr="008D4B02">
        <w:rPr>
          <w:rFonts w:ascii="Times New Roman" w:eastAsia="Times New Roman" w:hAnsi="Times New Roman" w:cs="Times New Roman"/>
          <w:kern w:val="0"/>
          <w14:ligatures w14:val="none"/>
        </w:rPr>
        <w:t xml:space="preserve"> </w:t>
      </w:r>
      <w:r w:rsidRPr="008D4B02">
        <w:rPr>
          <w:rFonts w:ascii="Times New Roman" w:eastAsia="Times New Roman" w:hAnsi="Times New Roman" w:cs="Times New Roman"/>
          <w:i/>
          <w:iCs/>
          <w:kern w:val="0"/>
          <w14:ligatures w14:val="none"/>
        </w:rPr>
        <w:t>Document 1 of 3: Main Case Narrative · Approx. 2,400 words</w:t>
      </w:r>
    </w:p>
    <w:p w14:paraId="64A3224C" w14:textId="77777777" w:rsidR="008D4B02" w:rsidRPr="008D4B02" w:rsidRDefault="008D4B02" w:rsidP="008D4B02">
      <w:pPr>
        <w:spacing w:after="0"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pict w14:anchorId="05BFC73F">
          <v:rect id="_x0000_i1029" style="width:0;height:1.5pt" o:hralign="center" o:hrstd="t" o:hr="t" fillcolor="#a0a0a0" stroked="f"/>
        </w:pict>
      </w:r>
    </w:p>
    <w:p w14:paraId="61679965"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A Festival, and a Fault Line</w:t>
      </w:r>
    </w:p>
    <w:p w14:paraId="5E74A516"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In late October 2025, Lidia Fonseca stood in front of Pfizer's roughly 81,000 colleagues, most of them watching from desks across the company's global footprint. It was the opening of the company's </w:t>
      </w:r>
      <w:r w:rsidRPr="008D4B02">
        <w:rPr>
          <w:rFonts w:ascii="Times New Roman" w:eastAsia="Times New Roman" w:hAnsi="Times New Roman" w:cs="Times New Roman"/>
          <w:i/>
          <w:iCs/>
          <w:kern w:val="0"/>
          <w14:ligatures w14:val="none"/>
        </w:rPr>
        <w:t>second annual AI Festival Week</w:t>
      </w:r>
      <w:r w:rsidRPr="008D4B02">
        <w:rPr>
          <w:rFonts w:ascii="Times New Roman" w:eastAsia="Times New Roman" w:hAnsi="Times New Roman" w:cs="Times New Roman"/>
          <w:kern w:val="0"/>
          <w14:ligatures w14:val="none"/>
        </w:rPr>
        <w:t xml:space="preserve"> — a week of internal hackathons, demos, and fireside chats that her team had built to push artificial intelligence out of the discovery labs and into every corner of the company. On stage with her over the course of the week were the CEOs of two of the most consequential AI companies in the world: Jason Droege of Scale AI and Arthur Mensch of Mistral AI. The optics were unmistakable. Pfizer was no longer just a customer of AI. It was trying to become an AI-native enterprise.</w:t>
      </w:r>
    </w:p>
    <w:p w14:paraId="3BEE1E53"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The optics were also expensive. Pfizer's COVID-19 franchise — the Comirnaty vaccine and the Paxlovid antiviral — had collapsed from </w:t>
      </w:r>
      <w:r w:rsidRPr="008D4B02">
        <w:rPr>
          <w:rFonts w:ascii="Times New Roman" w:eastAsia="Times New Roman" w:hAnsi="Times New Roman" w:cs="Times New Roman"/>
          <w:b/>
          <w:bCs/>
          <w:kern w:val="0"/>
          <w14:ligatures w14:val="none"/>
        </w:rPr>
        <w:t>about $56.7 billion in revenue in 2022 to roughly $6.7 billion in 2025</w:t>
      </w:r>
      <w:r w:rsidRPr="008D4B02">
        <w:rPr>
          <w:rFonts w:ascii="Times New Roman" w:eastAsia="Times New Roman" w:hAnsi="Times New Roman" w:cs="Times New Roman"/>
          <w:kern w:val="0"/>
          <w14:ligatures w14:val="none"/>
        </w:rPr>
        <w:t xml:space="preserve">, an eight-fold contraction in three years. Behind that cliff sat another one: by 2030, </w:t>
      </w:r>
      <w:r w:rsidRPr="008D4B02">
        <w:rPr>
          <w:rFonts w:ascii="Times New Roman" w:eastAsia="Times New Roman" w:hAnsi="Times New Roman" w:cs="Times New Roman"/>
          <w:b/>
          <w:bCs/>
          <w:kern w:val="0"/>
          <w14:ligatures w14:val="none"/>
        </w:rPr>
        <w:t>approximately $17 billion in annual revenue</w:t>
      </w:r>
      <w:r w:rsidRPr="008D4B02">
        <w:rPr>
          <w:rFonts w:ascii="Times New Roman" w:eastAsia="Times New Roman" w:hAnsi="Times New Roman" w:cs="Times New Roman"/>
          <w:kern w:val="0"/>
          <w14:ligatures w14:val="none"/>
        </w:rPr>
        <w:t xml:space="preserve"> was at risk from the loss of exclusivity on franchise drugs like Eliquis and Ibrance. To defend its margins, Pfizer had committed to a $7.2 billion net cost-savings program by the end of 2026, with a further $1.5 billion targeted from manufacturing optimization through 2027. Investors were not patient. Analysts at the company's Q4 2025 earnings call on February 3, 2026 wanted to know, in plain terms, whether all of this AI talk would translate into the kind of measurable productivity Pfizer was promising — or whether it would simply be another expensive program in a year of expensive programs.</w:t>
      </w:r>
    </w:p>
    <w:p w14:paraId="390E2E1E"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Fonseca, Pfizer's Executive Vice President and Chief Digital and Technology Officer, was the executive who would have to deliver the answer. She had built her career on translating digital ambition into operational results — first as Chief Information Officer at Quest Diagnostics, where she ran a digital reinvention of one of the country's largest diagnostic networks, and then, since 2019, at Pfizer, where her digital team had been the unglamorous engine behind the breakneck development of the COVID-19 vaccine. Now she had a harder problem. The pandemic gave her team a single, externally imposed deadline. The post-pandemic transformation gave her something stranger: thousands of small, internally negotiated deadlines, none of them a vaccine, all of them necessary.</w:t>
      </w:r>
    </w:p>
    <w:p w14:paraId="700C182D"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The Protagonist</w:t>
      </w:r>
    </w:p>
    <w:p w14:paraId="1B086A0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lastRenderedPageBreak/>
        <w:t>Lidia L. Fonseca was an unusual choice to run digital at one of the world's largest pharmaceutical companies. She was not a career pharma executive. Mexican-born and California-educated — a UC Berkeley undergraduate — she had crossed the Atlantic to earn an MBA and a Master in Business Informatics from the Rotterdam School of Management at Erasmus University. She had spent twenty years in healthcare technology before joining Pfizer in early 2019, including the CIO role at Quest Diagnostics, where she had reorganized the company's data platforms and built consumer-facing digital products at a scale unusual for clinical labs. Forbes named her to its CIO Next List in 2022, recognizing technology leaders who were redefining the role of the CIO.</w:t>
      </w:r>
    </w:p>
    <w:p w14:paraId="2CD8C67E"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Inside Pfizer, her remit covered the full digital perimeter of the enterprise: drug discovery, clinical development, manufacturing, distribution, commercial operations, and patient engagement. She reported directly to Albert Bourla, the chairman and CEO, and her team operated alongside Pfizer's R&amp;D and Global Supply organizations rather than as a back-office IT function. That structural choice — making digital a peer to the science — was the precondition for everything that followed. As Pfizer's leadership communications repeatedly framed it, the company had spent years harnessing digital and AI across the enterprise to drive innovation and productivity at a global scale. The line was anodyne. The structure underneath it was not.</w:t>
      </w:r>
    </w:p>
    <w:p w14:paraId="1343A6D8"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The Strategic Squeeze</w:t>
      </w:r>
    </w:p>
    <w:p w14:paraId="2564627E"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Pfizer entered 2025 inside a vise. On one jaw was the COVID revenue cliff. The Comirnaty/Paxlovid franchise that had financed an unprecedented R&amp;D and dealmaking spree — including the $43 billion acquisition of Seagen in 2023 — was decaying faster than almost anyone had forecast. Management's own guidance pegged COVID-related revenue at roughly $5 billion for 2026, down from about $6.5 billion expected for 2025.</w:t>
      </w:r>
    </w:p>
    <w:p w14:paraId="17235431"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On the other jaw was the patent cliff. Pfizer's blockbuster anticoagulant Eliquis (co-marketed with Bristol Myers Squibb) and its breast cancer drug Ibrance were both heading toward loss of exclusivity in the second half of the decade. Industry analysts estimated that the global pharmaceutical industry faced </w:t>
      </w:r>
      <w:r w:rsidRPr="008D4B02">
        <w:rPr>
          <w:rFonts w:ascii="Times New Roman" w:eastAsia="Times New Roman" w:hAnsi="Times New Roman" w:cs="Times New Roman"/>
          <w:b/>
          <w:bCs/>
          <w:kern w:val="0"/>
          <w14:ligatures w14:val="none"/>
        </w:rPr>
        <w:t>$236 billion to $400 billion in branded revenue exposure</w:t>
      </w:r>
      <w:r w:rsidRPr="008D4B02">
        <w:rPr>
          <w:rFonts w:ascii="Times New Roman" w:eastAsia="Times New Roman" w:hAnsi="Times New Roman" w:cs="Times New Roman"/>
          <w:kern w:val="0"/>
          <w14:ligatures w14:val="none"/>
        </w:rPr>
        <w:t xml:space="preserve"> between 2025 and 2030 from expirations alone, and Pfizer was among the most exposed of the majors. The company's own disclosures put about $17 billion of annual revenue at risk by 2030.</w:t>
      </w:r>
    </w:p>
    <w:p w14:paraId="41619C2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The conventional response to a pharmaceutical patent cliff is some combination of acquisition, biotech licensing, and aggressive cost-cutting. Pfizer was doing all three. But Bourla and Fonseca were betting that AI could change the math underneath those moves — that AI could compress the cost and time of running clinical trials, lift manufacturing throughput, automate back-office work, and at the margin, accelerate the discovery pipeline that would replace the franchises about to expire. "We're striving to increase the speed of everything we do to drive high-quality innovation to improve lives," Bourla wrote in his letter accompanying the 2025 Annual Review, framing 2025 as a year of "strong performance, disciplined execution and bold moves" in which Pfizer had "advanced science, accelerated innovation and helped patients gain access to the medicines and vaccines they needed." The pairing was deliberate. Pfizer needed both.</w:t>
      </w:r>
    </w:p>
    <w:p w14:paraId="58B0D238"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lastRenderedPageBreak/>
        <w:t>The Bet: Four Layers, One Platform</w:t>
      </w:r>
    </w:p>
    <w:p w14:paraId="127D9BD1"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Fonseca's team had built Pfizer's AI program in four overlapping layers. The first was infrastructure. On the Q4 2025 earnings call in February 2026, Pfizer told analysts that it was expanding to </w:t>
      </w:r>
      <w:r w:rsidRPr="008D4B02">
        <w:rPr>
          <w:rFonts w:ascii="Times New Roman" w:eastAsia="Times New Roman" w:hAnsi="Times New Roman" w:cs="Times New Roman"/>
          <w:b/>
          <w:bCs/>
          <w:kern w:val="0"/>
          <w14:ligatures w14:val="none"/>
        </w:rPr>
        <w:t>more than 1,200 GPUs over the next two years</w:t>
      </w:r>
      <w:r w:rsidRPr="008D4B02">
        <w:rPr>
          <w:rFonts w:ascii="Times New Roman" w:eastAsia="Times New Roman" w:hAnsi="Times New Roman" w:cs="Times New Roman"/>
          <w:kern w:val="0"/>
          <w14:ligatures w14:val="none"/>
        </w:rPr>
        <w:t>, with the lion's share of the expansion driven by R&amp;D. For a company that had run most of its compute on commodity cloud and on-premise clusters as recently as 2020, this was a meaningful capital reallocation — and a signal that Pfizer expected to run training and inference workloads internally rather than rent them by the hour from third parties.</w:t>
      </w:r>
    </w:p>
    <w:p w14:paraId="77CF62DC"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The second layer was data. Pfizer had spent multiple years on what it called "AI-ready data" — cleaning, structuring, and lineage-tracing the experimental, clinical, manufacturing, and commercial data sets that AI workloads would consume. This was unglamorous work and the most likely place for the program to silently fail. AI/ML models trained on bad data would produce confidently wrong answers and, in a regulated industry, regulator-credible evidence of carelessness.</w:t>
      </w:r>
    </w:p>
    <w:p w14:paraId="6A108C21"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The third layer was applications. Pfizer's first signature deployment was an internal generative AI platform launched in 2023, which the company estimated had the potential to deliver </w:t>
      </w:r>
      <w:r w:rsidRPr="008D4B02">
        <w:rPr>
          <w:rFonts w:ascii="Times New Roman" w:eastAsia="Times New Roman" w:hAnsi="Times New Roman" w:cs="Times New Roman"/>
          <w:b/>
          <w:bCs/>
          <w:kern w:val="0"/>
          <w14:ligatures w14:val="none"/>
        </w:rPr>
        <w:t>$750 million to $1 billion in near-term value</w:t>
      </w:r>
      <w:r w:rsidRPr="008D4B02">
        <w:rPr>
          <w:rFonts w:ascii="Times New Roman" w:eastAsia="Times New Roman" w:hAnsi="Times New Roman" w:cs="Times New Roman"/>
          <w:kern w:val="0"/>
          <w14:ligatures w14:val="none"/>
        </w:rPr>
        <w:t xml:space="preserve"> through productivity gains across functions like medical writing, regulatory document drafting, and commercial content generation. By 2025, supercomputing and AI-driven virtual screening were </w:t>
      </w:r>
      <w:r w:rsidRPr="008D4B02">
        <w:rPr>
          <w:rFonts w:ascii="Times New Roman" w:eastAsia="Times New Roman" w:hAnsi="Times New Roman" w:cs="Times New Roman"/>
          <w:b/>
          <w:bCs/>
          <w:kern w:val="0"/>
          <w14:ligatures w14:val="none"/>
        </w:rPr>
        <w:t>compressing computational research timelines by 80 to 90 percent</w:t>
      </w:r>
      <w:r w:rsidRPr="008D4B02">
        <w:rPr>
          <w:rFonts w:ascii="Times New Roman" w:eastAsia="Times New Roman" w:hAnsi="Times New Roman" w:cs="Times New Roman"/>
          <w:kern w:val="0"/>
          <w14:ligatures w14:val="none"/>
        </w:rPr>
        <w:t xml:space="preserve"> relative to prior approaches. Pfizer's industry-first Digital Operations Center, combined with AI-enabled manufacturing processes, was reported to have lifted </w:t>
      </w:r>
      <w:r w:rsidRPr="008D4B02">
        <w:rPr>
          <w:rFonts w:ascii="Times New Roman" w:eastAsia="Times New Roman" w:hAnsi="Times New Roman" w:cs="Times New Roman"/>
          <w:b/>
          <w:bCs/>
          <w:kern w:val="0"/>
          <w14:ligatures w14:val="none"/>
        </w:rPr>
        <w:t>manufacturing throughput by approximately 20 percent</w:t>
      </w:r>
      <w:r w:rsidRPr="008D4B02">
        <w:rPr>
          <w:rFonts w:ascii="Times New Roman" w:eastAsia="Times New Roman" w:hAnsi="Times New Roman" w:cs="Times New Roman"/>
          <w:kern w:val="0"/>
          <w14:ligatures w14:val="none"/>
        </w:rPr>
        <w:t>, a number Bourla cited publicly to anchor the productivity narrative.</w:t>
      </w:r>
    </w:p>
    <w:p w14:paraId="17DCB1B8"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The fourth — and most experimental — layer was agents. On the Q4 2025 call, Pfizer described an emerging class of "agentic workflows" that would not just answer questions but execute multi-step business processes end to end. The flagship example: an agentic system that automates </w:t>
      </w:r>
      <w:r w:rsidRPr="008D4B02">
        <w:rPr>
          <w:rFonts w:ascii="Times New Roman" w:eastAsia="Times New Roman" w:hAnsi="Times New Roman" w:cs="Times New Roman"/>
          <w:b/>
          <w:bCs/>
          <w:kern w:val="0"/>
          <w14:ligatures w14:val="none"/>
        </w:rPr>
        <w:t>clinical trial feasibility analysis and site selection</w:t>
      </w:r>
      <w:r w:rsidRPr="008D4B02">
        <w:rPr>
          <w:rFonts w:ascii="Times New Roman" w:eastAsia="Times New Roman" w:hAnsi="Times New Roman" w:cs="Times New Roman"/>
          <w:kern w:val="0"/>
          <w14:ligatures w14:val="none"/>
        </w:rPr>
        <w:t>, a workflow that historically consumed weeks of human analyst time before any patient was ever enrolled. This was the bet that AI could move from co-pilot to co-worker — not a tool that helps a clinical operations analyst, but one that does the analyst's first pass.</w:t>
      </w:r>
    </w:p>
    <w:p w14:paraId="089AB09F"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Three Views of the Same Bet</w:t>
      </w:r>
    </w:p>
    <w:p w14:paraId="31766FE5" w14:textId="77777777" w:rsidR="008D4B02" w:rsidRPr="008D4B02" w:rsidRDefault="008D4B02" w:rsidP="008D4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B02">
        <w:rPr>
          <w:rFonts w:ascii="Times New Roman" w:eastAsia="Times New Roman" w:hAnsi="Times New Roman" w:cs="Times New Roman"/>
          <w:b/>
          <w:bCs/>
          <w:kern w:val="0"/>
          <w:sz w:val="27"/>
          <w:szCs w:val="27"/>
          <w14:ligatures w14:val="none"/>
        </w:rPr>
        <w:t>The protagonist's view</w:t>
      </w:r>
    </w:p>
    <w:p w14:paraId="27AF7D82"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Fonseca's framing, in public remarks at industry forums in 2025, was that AI's job at Pfizer was not to replace scientists but to </w:t>
      </w:r>
      <w:r w:rsidRPr="008D4B02">
        <w:rPr>
          <w:rFonts w:ascii="Times New Roman" w:eastAsia="Times New Roman" w:hAnsi="Times New Roman" w:cs="Times New Roman"/>
          <w:i/>
          <w:iCs/>
          <w:kern w:val="0"/>
          <w14:ligatures w14:val="none"/>
        </w:rPr>
        <w:t>compress the latency</w:t>
      </w:r>
      <w:r w:rsidRPr="008D4B02">
        <w:rPr>
          <w:rFonts w:ascii="Times New Roman" w:eastAsia="Times New Roman" w:hAnsi="Times New Roman" w:cs="Times New Roman"/>
          <w:kern w:val="0"/>
          <w14:ligatures w14:val="none"/>
        </w:rPr>
        <w:t xml:space="preserve"> between insight and action. Faster trial site selection, faster regulatory drafting, faster manufacturing changeovers, faster commercial content review — each shaved time, and time, in pharma, is risk-adjusted revenue. Her cultural strategy was equally explicit: she ran the AI Festival as an internal program because she believed the </w:t>
      </w:r>
      <w:r w:rsidRPr="008D4B02">
        <w:rPr>
          <w:rFonts w:ascii="Times New Roman" w:eastAsia="Times New Roman" w:hAnsi="Times New Roman" w:cs="Times New Roman"/>
          <w:kern w:val="0"/>
          <w14:ligatures w14:val="none"/>
        </w:rPr>
        <w:lastRenderedPageBreak/>
        <w:t xml:space="preserve">binding constraint on AI value was </w:t>
      </w:r>
      <w:r w:rsidRPr="008D4B02">
        <w:rPr>
          <w:rFonts w:ascii="Times New Roman" w:eastAsia="Times New Roman" w:hAnsi="Times New Roman" w:cs="Times New Roman"/>
          <w:i/>
          <w:iCs/>
          <w:kern w:val="0"/>
          <w14:ligatures w14:val="none"/>
        </w:rPr>
        <w:t>workforce adoption</w:t>
      </w:r>
      <w:r w:rsidRPr="008D4B02">
        <w:rPr>
          <w:rFonts w:ascii="Times New Roman" w:eastAsia="Times New Roman" w:hAnsi="Times New Roman" w:cs="Times New Roman"/>
          <w:kern w:val="0"/>
          <w14:ligatures w14:val="none"/>
        </w:rPr>
        <w:t>, not model availability. The Festival, in her telling, was less a marketing exercise than an enablement program disguised as one.</w:t>
      </w:r>
    </w:p>
    <w:p w14:paraId="126EAB7D" w14:textId="77777777" w:rsidR="008D4B02" w:rsidRPr="008D4B02" w:rsidRDefault="008D4B02" w:rsidP="008D4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B02">
        <w:rPr>
          <w:rFonts w:ascii="Times New Roman" w:eastAsia="Times New Roman" w:hAnsi="Times New Roman" w:cs="Times New Roman"/>
          <w:b/>
          <w:bCs/>
          <w:kern w:val="0"/>
          <w:sz w:val="27"/>
          <w:szCs w:val="27"/>
          <w14:ligatures w14:val="none"/>
        </w:rPr>
        <w:t>Leadership's strategic rationale</w:t>
      </w:r>
    </w:p>
    <w:p w14:paraId="3AB583EC"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Bourla and the Pfizer board were operating on a different time horizon. From their vantage point, AI was a hedge against three simultaneous threats: the post-COVID revenue normalization, the late-decade patent cliff, and the structural cost burden of running large-molecule and combination-therapy R&amp;D programs at the scale needed to backfill $17 billion in lost revenue. The $7.2 billion cost program by 2026 — of which manufacturing optimization alone was expected to deliver $1.5 billion through 2027, with $500 million already redirected back into R&amp;D — only worked if AI carried part of the productivity load. In that sense, AI was not an adjacent investment. It was the leverage that made the rest of the financial plan internally consistent.</w:t>
      </w:r>
    </w:p>
    <w:p w14:paraId="6092C056" w14:textId="77777777" w:rsidR="008D4B02" w:rsidRPr="008D4B02" w:rsidRDefault="008D4B02" w:rsidP="008D4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4B02">
        <w:rPr>
          <w:rFonts w:ascii="Times New Roman" w:eastAsia="Times New Roman" w:hAnsi="Times New Roman" w:cs="Times New Roman"/>
          <w:b/>
          <w:bCs/>
          <w:kern w:val="0"/>
          <w:sz w:val="27"/>
          <w:szCs w:val="27"/>
          <w14:ligatures w14:val="none"/>
        </w:rPr>
        <w:t>The industry analyst view</w:t>
      </w:r>
    </w:p>
    <w:p w14:paraId="78E987A5"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External observers were less certain. McKinsey, in its 2025 work on generative AI in pharma and on "Scientific AI," framed the prize as enormous — billions in operational value across the industry, with measurable trial-enrollment improvements of 10 to 20 percent in early pilots — but warned that GenAI in pharma was "moving from hype to reality" unevenly, with most companies still struggling to industrialize pilots. Reuters, reporting in January and April 2026 on the broader pharma sector, observed that drugmakers were </w:t>
      </w:r>
      <w:r w:rsidRPr="008D4B02">
        <w:rPr>
          <w:rFonts w:ascii="Times New Roman" w:eastAsia="Times New Roman" w:hAnsi="Times New Roman" w:cs="Times New Roman"/>
          <w:i/>
          <w:iCs/>
          <w:kern w:val="0"/>
          <w14:ligatures w14:val="none"/>
        </w:rPr>
        <w:t>getting more leverage from AI in operational and regulatory workflows than in true breakthrough discovery</w:t>
      </w:r>
      <w:r w:rsidRPr="008D4B02">
        <w:rPr>
          <w:rFonts w:ascii="Times New Roman" w:eastAsia="Times New Roman" w:hAnsi="Times New Roman" w:cs="Times New Roman"/>
          <w:kern w:val="0"/>
          <w14:ligatures w14:val="none"/>
        </w:rPr>
        <w:t xml:space="preserve"> — the trial site selection, patient recruitment, and submission drafting use cases were producing real time savings, while AI-driven molecule discovery remained a longer, more speculative payoff.</w:t>
      </w:r>
    </w:p>
    <w:p w14:paraId="3205AE11"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That gap mattered. If AI's near-term yield was operational, Pfizer's investment was defensible primarily as productivity. But the narrative the company was telling — to investors, to employees, and to the FDA — increasingly framed AI as an </w:t>
      </w:r>
      <w:r w:rsidRPr="008D4B02">
        <w:rPr>
          <w:rFonts w:ascii="Times New Roman" w:eastAsia="Times New Roman" w:hAnsi="Times New Roman" w:cs="Times New Roman"/>
          <w:i/>
          <w:iCs/>
          <w:kern w:val="0"/>
          <w14:ligatures w14:val="none"/>
        </w:rPr>
        <w:t>innovation accelerator</w:t>
      </w:r>
      <w:r w:rsidRPr="008D4B02">
        <w:rPr>
          <w:rFonts w:ascii="Times New Roman" w:eastAsia="Times New Roman" w:hAnsi="Times New Roman" w:cs="Times New Roman"/>
          <w:kern w:val="0"/>
          <w14:ligatures w14:val="none"/>
        </w:rPr>
        <w:t xml:space="preserve"> that would help refill the late-decade pipeline. Those two stories pulled in different directions. One was a cost story. The other was a growth story. Pfizer was selling both, simultaneously, to audiences who would eventually compare notes.</w:t>
      </w:r>
    </w:p>
    <w:p w14:paraId="1EF39606"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Four Unresolved Tensions</w:t>
      </w:r>
    </w:p>
    <w:p w14:paraId="01CF217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Fonseca and Bourla had not, as of mid-2026, resolved four genuine strategic tensions inside the program.</w:t>
      </w:r>
    </w:p>
    <w:p w14:paraId="0243E8C4"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First, </w:t>
      </w:r>
      <w:r w:rsidRPr="008D4B02">
        <w:rPr>
          <w:rFonts w:ascii="Times New Roman" w:eastAsia="Times New Roman" w:hAnsi="Times New Roman" w:cs="Times New Roman"/>
          <w:b/>
          <w:bCs/>
          <w:kern w:val="0"/>
          <w14:ligatures w14:val="none"/>
        </w:rPr>
        <w:t>productivity versus innovation</w:t>
      </w:r>
      <w:r w:rsidRPr="008D4B02">
        <w:rPr>
          <w:rFonts w:ascii="Times New Roman" w:eastAsia="Times New Roman" w:hAnsi="Times New Roman" w:cs="Times New Roman"/>
          <w:kern w:val="0"/>
          <w14:ligatures w14:val="none"/>
        </w:rPr>
        <w:t>. The clearest, most defensible AI ROI at Pfizer was operational — manufacturing throughput, document drafting, trial logistics. The narratively most exciting use cases were in discovery, where the time-to-impact was measured in years and the success rate per project remained low. Capital, GPU capacity, and senior leadership attention were finite. Allocating too much to discovery would starve the productivity case investors were paying for; allocating too little would leave Pfizer's pipeline as exposed in 2030 as it looked in 2025.</w:t>
      </w:r>
    </w:p>
    <w:p w14:paraId="02455777"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lastRenderedPageBreak/>
        <w:t xml:space="preserve">Second, </w:t>
      </w:r>
      <w:r w:rsidRPr="008D4B02">
        <w:rPr>
          <w:rFonts w:ascii="Times New Roman" w:eastAsia="Times New Roman" w:hAnsi="Times New Roman" w:cs="Times New Roman"/>
          <w:b/>
          <w:bCs/>
          <w:kern w:val="0"/>
          <w14:ligatures w14:val="none"/>
        </w:rPr>
        <w:t>build versus partner</w:t>
      </w:r>
      <w:r w:rsidRPr="008D4B02">
        <w:rPr>
          <w:rFonts w:ascii="Times New Roman" w:eastAsia="Times New Roman" w:hAnsi="Times New Roman" w:cs="Times New Roman"/>
          <w:kern w:val="0"/>
          <w14:ligatures w14:val="none"/>
        </w:rPr>
        <w:t>. Pfizer was simultaneously building its own internal generative AI platform and inviting Mistral and Scale AI onto its main internal stage. AWS had hosted a major Pfizer keynote at re:Invent in 2023 and remained a key infrastructure partner. The strategic question — should Pfizer's distinctive AI capability be its proprietary models, its proprietary data, or its proprietary workflows? — was not yet settled. Each answer implied a different operating model, a different talent strategy, and a different relationship with the foundation-model labs.</w:t>
      </w:r>
    </w:p>
    <w:p w14:paraId="39391371"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Third, </w:t>
      </w:r>
      <w:r w:rsidRPr="008D4B02">
        <w:rPr>
          <w:rFonts w:ascii="Times New Roman" w:eastAsia="Times New Roman" w:hAnsi="Times New Roman" w:cs="Times New Roman"/>
          <w:b/>
          <w:bCs/>
          <w:kern w:val="0"/>
          <w14:ligatures w14:val="none"/>
        </w:rPr>
        <w:t>speed versus regulatory exposure</w:t>
      </w:r>
      <w:r w:rsidRPr="008D4B02">
        <w:rPr>
          <w:rFonts w:ascii="Times New Roman" w:eastAsia="Times New Roman" w:hAnsi="Times New Roman" w:cs="Times New Roman"/>
          <w:kern w:val="0"/>
          <w14:ligatures w14:val="none"/>
        </w:rPr>
        <w:t>. The FDA's posture on AI in regulatory submissions, manufacturing controls, and clinical decision support was evolving in 2025–2026 but remained cautious. Every productivity gain Pfizer captured by replacing human workflow with agentic workflow created a new audit-trail and validation problem for its compliance organization. An agent that could draft a regulatory document in minutes was only valuable if Pfizer could explain, in writing, exactly how that document had been generated, what data had trained the model, and how a human had reviewed it.</w:t>
      </w:r>
    </w:p>
    <w:p w14:paraId="5DABB680"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Fourth, </w:t>
      </w:r>
      <w:r w:rsidRPr="008D4B02">
        <w:rPr>
          <w:rFonts w:ascii="Times New Roman" w:eastAsia="Times New Roman" w:hAnsi="Times New Roman" w:cs="Times New Roman"/>
          <w:b/>
          <w:bCs/>
          <w:kern w:val="0"/>
          <w14:ligatures w14:val="none"/>
        </w:rPr>
        <w:t>workforce transformation</w:t>
      </w:r>
      <w:r w:rsidRPr="008D4B02">
        <w:rPr>
          <w:rFonts w:ascii="Times New Roman" w:eastAsia="Times New Roman" w:hAnsi="Times New Roman" w:cs="Times New Roman"/>
          <w:kern w:val="0"/>
          <w14:ligatures w14:val="none"/>
        </w:rPr>
        <w:t>. The AI Festival was, in effect, an admission that the company's own employees were the binding constraint on AI value capture. Pfizer employed tens of thousands of clinicians, scientists, manufacturing operators, and commercial professionals whose workflows were being reshaped. Some of those jobs were being augmented. Some were being automated. The company had not publicly disclosed how it intended to manage the difference, and middle managers — the layer most likely to either sponsor or quietly resist agentic workflows — had received less attention in the public narrative than the senior science roles.</w:t>
      </w:r>
    </w:p>
    <w:p w14:paraId="1F852511"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What Comes Next</w:t>
      </w:r>
    </w:p>
    <w:p w14:paraId="51EBCB7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By the spring of 2026, Pfizer had assembled most of the visible components of an AI-native pharmaceutical operating model: the GPU capacity, the data foundations, the productivity applications, the early agentic workflows, the executive sponsorship, and the workforce mobilization vehicle. What it had not yet produced — and what its investors, regulators, and competitors were watching for — was unambiguous evidence that the program was bending the company's long-run economics, not just its quarterly cost line. The 80–90 percent computational-time reductions and 20 percent manufacturing throughput gains were real. So was the patent cliff.</w:t>
      </w:r>
    </w:p>
    <w:p w14:paraId="5DE9DA0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Fonseca's bet was that the work she was doing now would matter most in 2028 and 2029, when Pfizer would either have a measurably more productive R&amp;D engine and a meaningfully cheaper manufacturing base — or it would not. Her timeline did not match the analyst quarterly cycle. She was betting that Bourla and the board would let her finish.</w:t>
      </w:r>
    </w:p>
    <w:p w14:paraId="6F5E9FDA"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 xml:space="preserve">The harder question, one she had not yet had to answer in public, was what success would actually look like. Was Pfizer trying to become a pharmaceutical company that used AI fluently? Or was it trying to become something closer to an AI platform company that happened to ship medicines? Different answers implied different organizations, different talent, different capital structures, and different relationships with patients. As of mid-2026, the company's leadership </w:t>
      </w:r>
      <w:r w:rsidRPr="008D4B02">
        <w:rPr>
          <w:rFonts w:ascii="Times New Roman" w:eastAsia="Times New Roman" w:hAnsi="Times New Roman" w:cs="Times New Roman"/>
          <w:kern w:val="0"/>
          <w14:ligatures w14:val="none"/>
        </w:rPr>
        <w:lastRenderedPageBreak/>
        <w:t>was, deliberately, not choosing between those framings. Whether that ambiguity was strategic patience or strategic indecision was, in the end, the open question of the case.</w:t>
      </w:r>
    </w:p>
    <w:p w14:paraId="1C274F74" w14:textId="77777777" w:rsidR="008D4B02" w:rsidRPr="008D4B02" w:rsidRDefault="008D4B02" w:rsidP="008D4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4B02">
        <w:rPr>
          <w:rFonts w:ascii="Times New Roman" w:eastAsia="Times New Roman" w:hAnsi="Times New Roman" w:cs="Times New Roman"/>
          <w:b/>
          <w:bCs/>
          <w:kern w:val="0"/>
          <w:sz w:val="36"/>
          <w:szCs w:val="36"/>
          <w14:ligatures w14:val="none"/>
        </w:rPr>
        <w:t>Discussion Questions</w:t>
      </w:r>
    </w:p>
    <w:p w14:paraId="2B1FE64A"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Pfizer is selling two stories at once: AI as a near-term productivity engine and AI as a long-term innovation accelerator. Are these stories actually compatible, or will Fonseca eventually have to choose between them? Which audience — investors, regulators, or employees — is most exposed if she does not?</w:t>
      </w:r>
    </w:p>
    <w:p w14:paraId="01D273DD"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Pfizer is simultaneously building its own internal generative AI platform and partnering publicly with Mistral, Scale AI, and AWS. Where should Pfizer's durable competitive advantage in AI live: in proprietary models, in proprietary data, or in proprietary workflows? Defend your answer using the case evidence.</w:t>
      </w:r>
    </w:p>
    <w:p w14:paraId="01B383A3"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The 1,200+ GPU expansion is justified by R&amp;D demand. But the most defensible near-term ROI in the case is operational — manufacturing throughput, regulatory drafting, clinical trial site selection. If you were on Pfizer's board, would you redirect a portion of that GPU capacity to operational AI workloads? What would you give up?</w:t>
      </w:r>
    </w:p>
    <w:p w14:paraId="5ECDA6FB"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Pfizer's agentic workflow for clinical trial feasibility and site selection automates weeks of human analyst work. What governance, validation, and audit-trail obligations does that workflow create that a traditional analyst-driven process did not? How should Fonseca and Pfizer's compliance leadership share accountability for those obligations?</w:t>
      </w:r>
    </w:p>
    <w:p w14:paraId="128BE6D0"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The AI Festival framed workforce enablement as the binding constraint on AI value at Pfizer. Is a company-wide internal festival the right intervention, or does it risk substituting visible enthusiasm for the harder work of restructuring middle-management workflows? What would you change in Pfizer's workforce transformation plan?</w:t>
      </w:r>
    </w:p>
    <w:p w14:paraId="1C228086" w14:textId="77777777" w:rsidR="008D4B02" w:rsidRPr="008D4B02" w:rsidRDefault="008D4B02" w:rsidP="008D4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t>Imagine it is 2030. Pfizer's Eliquis and Ibrance franchises have lost exclusivity. By what specific, measurable signals would you judge whether Fonseca's AI program succeeded — and which of those signals are visible from outside the company today?</w:t>
      </w:r>
    </w:p>
    <w:p w14:paraId="72A948AD" w14:textId="77777777" w:rsidR="008D4B02" w:rsidRPr="008D4B02" w:rsidRDefault="008D4B02" w:rsidP="008D4B02">
      <w:pPr>
        <w:spacing w:after="0"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kern w:val="0"/>
          <w14:ligatures w14:val="none"/>
        </w:rPr>
        <w:pict w14:anchorId="294B81CC">
          <v:rect id="_x0000_i1030" style="width:0;height:1.5pt" o:hralign="center" o:hrstd="t" o:hr="t" fillcolor="#a0a0a0" stroked="f"/>
        </w:pict>
      </w:r>
    </w:p>
    <w:p w14:paraId="6356174C" w14:textId="77777777" w:rsidR="008D4B02" w:rsidRPr="008D4B02" w:rsidRDefault="008D4B02" w:rsidP="008D4B02">
      <w:pPr>
        <w:spacing w:before="100" w:beforeAutospacing="1" w:after="100" w:afterAutospacing="1" w:line="240" w:lineRule="auto"/>
        <w:rPr>
          <w:rFonts w:ascii="Times New Roman" w:eastAsia="Times New Roman" w:hAnsi="Times New Roman" w:cs="Times New Roman"/>
          <w:kern w:val="0"/>
          <w14:ligatures w14:val="none"/>
        </w:rPr>
      </w:pPr>
      <w:r w:rsidRPr="008D4B02">
        <w:rPr>
          <w:rFonts w:ascii="Times New Roman" w:eastAsia="Times New Roman" w:hAnsi="Times New Roman" w:cs="Times New Roman"/>
          <w:b/>
          <w:bCs/>
          <w:i/>
          <w:iCs/>
          <w:kern w:val="0"/>
          <w14:ligatures w14:val="none"/>
        </w:rPr>
        <w:t>A note on sources.</w:t>
      </w:r>
      <w:r w:rsidRPr="008D4B02">
        <w:rPr>
          <w:rFonts w:ascii="Times New Roman" w:eastAsia="Times New Roman" w:hAnsi="Times New Roman" w:cs="Times New Roman"/>
          <w:kern w:val="0"/>
          <w14:ligatures w14:val="none"/>
        </w:rPr>
        <w:t xml:space="preserve"> </w:t>
      </w:r>
      <w:r w:rsidRPr="008D4B02">
        <w:rPr>
          <w:rFonts w:ascii="Times New Roman" w:eastAsia="Times New Roman" w:hAnsi="Times New Roman" w:cs="Times New Roman"/>
          <w:i/>
          <w:iCs/>
          <w:kern w:val="0"/>
          <w14:ligatures w14:val="none"/>
        </w:rPr>
        <w:t>All numerical claims in this narrative are drawn from Pfizer's 2025 Annual Review, Pfizer's Q4 2025 earnings call (February 3, 2026), Pfizer's October 2025 AI Festival announcement, McKinsey's 2024–2025 work on generative AI and Scientific AI in pharma, and Reuters' January 26 and April 14, 2026 coverage of AI adoption in the pharmaceutical sector. A complete annotated bibliography appears in Document 3 (Additional Sources).</w:t>
      </w:r>
    </w:p>
    <w:p w14:paraId="201631A5" w14:textId="77777777" w:rsidR="00FA0B1C" w:rsidRPr="008D4B02" w:rsidRDefault="00FA0B1C" w:rsidP="008D4B02"/>
    <w:sectPr w:rsidR="00FA0B1C" w:rsidRPr="008D4B0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0F2F" w14:textId="77777777" w:rsidR="007A2BD9" w:rsidRDefault="007A2BD9" w:rsidP="00880559">
      <w:pPr>
        <w:spacing w:after="0" w:line="240" w:lineRule="auto"/>
      </w:pPr>
      <w:r>
        <w:separator/>
      </w:r>
    </w:p>
  </w:endnote>
  <w:endnote w:type="continuationSeparator" w:id="0">
    <w:p w14:paraId="75C0BF07" w14:textId="77777777" w:rsidR="007A2BD9" w:rsidRDefault="007A2BD9" w:rsidP="00880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AD30" w14:textId="77777777" w:rsidR="00880559" w:rsidRDefault="008805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011E" w14:textId="77777777" w:rsidR="00880559" w:rsidRDefault="008805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81A9" w14:textId="77777777" w:rsidR="00880559" w:rsidRDefault="00880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CFA7" w14:textId="77777777" w:rsidR="007A2BD9" w:rsidRDefault="007A2BD9" w:rsidP="00880559">
      <w:pPr>
        <w:spacing w:after="0" w:line="240" w:lineRule="auto"/>
      </w:pPr>
      <w:r>
        <w:separator/>
      </w:r>
    </w:p>
  </w:footnote>
  <w:footnote w:type="continuationSeparator" w:id="0">
    <w:p w14:paraId="132F0864" w14:textId="77777777" w:rsidR="007A2BD9" w:rsidRDefault="007A2BD9" w:rsidP="00880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F691" w14:textId="77777777" w:rsidR="00880559" w:rsidRDefault="00880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1F0C" w14:textId="7A8D4730" w:rsidR="00880559" w:rsidRDefault="00880559">
    <w:pPr>
      <w:pStyle w:val="Header"/>
    </w:pPr>
    <w:r>
      <w:t>Cassandre Destin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046D" w14:textId="77777777" w:rsidR="00880559" w:rsidRDefault="00880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0B65"/>
    <w:multiLevelType w:val="multilevel"/>
    <w:tmpl w:val="9FD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C0123"/>
    <w:multiLevelType w:val="multilevel"/>
    <w:tmpl w:val="A2A6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242401">
    <w:abstractNumId w:val="0"/>
  </w:num>
  <w:num w:numId="2" w16cid:durableId="65495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1C"/>
    <w:rsid w:val="007A2BD9"/>
    <w:rsid w:val="00880559"/>
    <w:rsid w:val="008D4B02"/>
    <w:rsid w:val="00A733B7"/>
    <w:rsid w:val="00B34837"/>
    <w:rsid w:val="00FA0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1F74"/>
  <w15:chartTrackingRefBased/>
  <w15:docId w15:val="{EBB0F6C6-F656-4BFC-8E02-AEEA083A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B1C"/>
    <w:rPr>
      <w:rFonts w:eastAsiaTheme="majorEastAsia" w:cstheme="majorBidi"/>
      <w:color w:val="272727" w:themeColor="text1" w:themeTint="D8"/>
    </w:rPr>
  </w:style>
  <w:style w:type="paragraph" w:styleId="Title">
    <w:name w:val="Title"/>
    <w:basedOn w:val="Normal"/>
    <w:next w:val="Normal"/>
    <w:link w:val="TitleChar"/>
    <w:uiPriority w:val="10"/>
    <w:qFormat/>
    <w:rsid w:val="00FA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B1C"/>
    <w:pPr>
      <w:spacing w:before="160"/>
      <w:jc w:val="center"/>
    </w:pPr>
    <w:rPr>
      <w:i/>
      <w:iCs/>
      <w:color w:val="404040" w:themeColor="text1" w:themeTint="BF"/>
    </w:rPr>
  </w:style>
  <w:style w:type="character" w:customStyle="1" w:styleId="QuoteChar">
    <w:name w:val="Quote Char"/>
    <w:basedOn w:val="DefaultParagraphFont"/>
    <w:link w:val="Quote"/>
    <w:uiPriority w:val="29"/>
    <w:rsid w:val="00FA0B1C"/>
    <w:rPr>
      <w:i/>
      <w:iCs/>
      <w:color w:val="404040" w:themeColor="text1" w:themeTint="BF"/>
    </w:rPr>
  </w:style>
  <w:style w:type="paragraph" w:styleId="ListParagraph">
    <w:name w:val="List Paragraph"/>
    <w:basedOn w:val="Normal"/>
    <w:uiPriority w:val="34"/>
    <w:qFormat/>
    <w:rsid w:val="00FA0B1C"/>
    <w:pPr>
      <w:ind w:left="720"/>
      <w:contextualSpacing/>
    </w:pPr>
  </w:style>
  <w:style w:type="character" w:styleId="IntenseEmphasis">
    <w:name w:val="Intense Emphasis"/>
    <w:basedOn w:val="DefaultParagraphFont"/>
    <w:uiPriority w:val="21"/>
    <w:qFormat/>
    <w:rsid w:val="00FA0B1C"/>
    <w:rPr>
      <w:i/>
      <w:iCs/>
      <w:color w:val="0F4761" w:themeColor="accent1" w:themeShade="BF"/>
    </w:rPr>
  </w:style>
  <w:style w:type="paragraph" w:styleId="IntenseQuote">
    <w:name w:val="Intense Quote"/>
    <w:basedOn w:val="Normal"/>
    <w:next w:val="Normal"/>
    <w:link w:val="IntenseQuoteChar"/>
    <w:uiPriority w:val="30"/>
    <w:qFormat/>
    <w:rsid w:val="00FA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B1C"/>
    <w:rPr>
      <w:i/>
      <w:iCs/>
      <w:color w:val="0F4761" w:themeColor="accent1" w:themeShade="BF"/>
    </w:rPr>
  </w:style>
  <w:style w:type="character" w:styleId="IntenseReference">
    <w:name w:val="Intense Reference"/>
    <w:basedOn w:val="DefaultParagraphFont"/>
    <w:uiPriority w:val="32"/>
    <w:qFormat/>
    <w:rsid w:val="00FA0B1C"/>
    <w:rPr>
      <w:b/>
      <w:bCs/>
      <w:smallCaps/>
      <w:color w:val="0F4761" w:themeColor="accent1" w:themeShade="BF"/>
      <w:spacing w:val="5"/>
    </w:rPr>
  </w:style>
  <w:style w:type="paragraph" w:styleId="NormalWeb">
    <w:name w:val="Normal (Web)"/>
    <w:basedOn w:val="Normal"/>
    <w:uiPriority w:val="99"/>
    <w:semiHidden/>
    <w:unhideWhenUsed/>
    <w:rsid w:val="00FA0B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A0B1C"/>
    <w:rPr>
      <w:i/>
      <w:iCs/>
    </w:rPr>
  </w:style>
  <w:style w:type="character" w:styleId="Strong">
    <w:name w:val="Strong"/>
    <w:basedOn w:val="DefaultParagraphFont"/>
    <w:uiPriority w:val="22"/>
    <w:qFormat/>
    <w:rsid w:val="00FA0B1C"/>
    <w:rPr>
      <w:b/>
      <w:bCs/>
    </w:rPr>
  </w:style>
  <w:style w:type="paragraph" w:styleId="Header">
    <w:name w:val="header"/>
    <w:basedOn w:val="Normal"/>
    <w:link w:val="HeaderChar"/>
    <w:uiPriority w:val="99"/>
    <w:unhideWhenUsed/>
    <w:rsid w:val="00880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559"/>
  </w:style>
  <w:style w:type="paragraph" w:styleId="Footer">
    <w:name w:val="footer"/>
    <w:basedOn w:val="Normal"/>
    <w:link w:val="FooterChar"/>
    <w:uiPriority w:val="99"/>
    <w:unhideWhenUsed/>
    <w:rsid w:val="00880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2681</Words>
  <Characters>15284</Characters>
  <Application>Microsoft Office Word</Application>
  <DocSecurity>0</DocSecurity>
  <Lines>127</Lines>
  <Paragraphs>35</Paragraphs>
  <ScaleCrop>false</ScaleCrop>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Destin</dc:creator>
  <cp:keywords/>
  <dc:description/>
  <cp:lastModifiedBy>Cassandre Destin</cp:lastModifiedBy>
  <cp:revision>3</cp:revision>
  <dcterms:created xsi:type="dcterms:W3CDTF">2026-05-03T01:00:00Z</dcterms:created>
  <dcterms:modified xsi:type="dcterms:W3CDTF">2026-05-04T19:59:00Z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22b13b6e-ada3-465f-aef9-cf74299573ec</vt:lpwstr>
  </property>
</Properties>
</file>