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rPr/>
        <w:t xml:space="preserve">Financiamiento a las empresas en México 2020-2026: lectura de la encuesta de Banxico</w:t>
      </w:r>
    </w:p>
    <w:p>
      <w:pPr>
        <w:pStyle w:val="Ttulo2"/>
        <w:keepNext/>
      </w:pPr>
      <w:r>
        <w:rPr/>
        <w:t xml:space="preserve">Resumen ejecutivo</w:t>
      </w:r>
    </w:p>
    <w:p>
      <w:pPr/>
      <w:r>
        <w:rPr/>
        <w:t xml:space="preserve">El crédito bancario nuevo a empresas lleva tres años perdiendo terreno y en 2026 aparecen señales de oferta más dura, a pesar de que Banxico bajó su tasa de 11.25% a 6.50%. Esta versión cubre los 27 trimestres de I-2020 a III-2026. La encuesta de julio-septiembre de 2026 (III-26) se publica el 19 de noviembre de 2026, así que ese trimestre aparece como pendiente en tablas y Excel.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Flujo a la baja, saldo estable. </w:t>
      </w:r>
      <w:r>
        <w:rPr/>
        <w:t xml:space="preserve">En II-26, 11.2% de las empresas usó crédito bancario nuevo, el tercer nivel más bajo desde IV-20. El promedio anual pasó de 15.4% (2023) a 12.2% (2026, I y II trimestre), una tendencia de -1.0 pp por año desde I-23. El porcentaje con crédito vigente sigue en 37%.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2020 completo. </w:t>
      </w:r>
      <w:r>
        <w:rPr/>
        <w:t xml:space="preserve">Con la muestra anterior, el crédito nuevo cayó de 24.2% (I-20) a 16.8% (IV-20) durante la pandemia; el promedio de 2020 fue 20.4%. No se compara en nivel con el diseño vigente, que da 13.6% para IV-20.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La caída es de las pequeñas. </w:t>
      </w:r>
      <w:r>
        <w:rPr/>
        <w:t xml:space="preserve">Las de más de 100 empleados se mantienen en 20-22% de crédito nuevo; las de 11 a 100 bajaron a 9.9% en II-26. La brecha de crédito vigente sube cada año desde 2023: 6.8 pp (2023), 9.2 (2024), 10.2 (2025) y 12.4 (2026).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2026 trae más rechazos. </w:t>
      </w:r>
      <w:r>
        <w:rPr/>
        <w:t xml:space="preserve">La tasa de rechazo (rechazadas entre rechazadas más aprobadas) fue 22.5% en I-26 y 24.3% en II-26, los dos valores más altos desde III-22. Promedio 2026: 23.4%, contra 6.4% en 2025.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El costo percibido volvió a empeorar. </w:t>
      </w:r>
      <w:r>
        <w:rPr/>
        <w:t xml:space="preserve">El índice de tasas llegó a 49.0 en III-25 y bajó a 39.4 en II-26. Las pequeñas lo ven en 35.3; las grandes en 53.7.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La banca pierde peso como fuente. </w:t>
      </w:r>
      <w:r>
        <w:rPr/>
        <w:t xml:space="preserve">La banca comercial cayó a 24.5% de las empresas, su nivel más bajo desde III-22; los proveedores siguen en torno a 61%.</w:t>
      </w:r>
    </w:p>
    <w:p>
      <w:pPr>
        <w:pStyle w:val="Prrafodelista"/>
        <w:numPr>
          <w:ilvl w:val="0"/>
          <w:numId w:val="2"/>
        </w:numPr>
      </w:pPr>
      <w:r>
        <w:rPr>
          <w:b/>
        </w:rPr>
        <w:t xml:space="preserve">La tasa de política no explica el movimiento. </w:t>
      </w:r>
      <w:r>
        <w:rPr/>
        <w:t xml:space="preserve">El crédito nuevo fue más alto en la meseta de 11.25% (15.2%) que en los recortes (13.6%). La correlación es +0.46, sin causalidad.</w:t>
      </w:r>
    </w:p>
    <w:p>
      <w:pPr/>
      <w:r>
        <w:rPr/>
        <w:t xml:space="preserve">Las series, los cálculos, las gráficas y la base de datos de cada imagen están en el Excel adjunto (</w:t>
      </w:r>
      <w:r>
        <w:rPr>
          <w:i/>
        </w:rPr>
        <w:t xml:space="preserve">Banxico_Financiamiento_Empresas_2020-2026.xlsx</w:t>
      </w:r>
      <w:r>
        <w:rPr/>
        <w:t xml:space="preserve">). Debajo de cada gráfica se indica la fuente y la hoja del Excel con los datos.</w:t>
      </w:r>
    </w:p>
    <w:p>
      <w:pPr>
        <w:pStyle w:val="Ttulo2"/>
        <w:keepNext/>
      </w:pPr>
      <w:r>
        <w:rPr/>
        <w:t xml:space="preserve">Qué mide la encuesta y por qué hay dos series</w:t>
      </w:r>
    </w:p>
    <w:p>
      <w:pPr/>
      <w:r>
        <w:rPr/>
        <w:t xml:space="preserve">El análisis usa el diseño muestral vigente (IV-20 a II-26). Los tres primeros trimestres de 2020 solo existen en la muestra anterior; se presentan aparte y marcados, porque sus niveles no son comparables.</w:t>
      </w:r>
    </w:p>
    <w:p>
      <w:pPr>
        <w:pStyle w:val="Prrafodelista"/>
        <w:numPr>
          <w:ilvl w:val="0"/>
          <w:numId w:val="3"/>
        </w:numPr>
      </w:pPr>
      <w:r>
        <w:rPr>
          <w:b/>
        </w:rPr>
        <w:t xml:space="preserve">Qué es. </w:t>
      </w:r>
      <w:r>
        <w:rPr/>
        <w:t xml:space="preserve">La Encuesta de Evaluación Coyuntural del Mercado Crediticio es cualitativa y trimestral. Cubre establecimientos de más de 10 empleados en manufacturas, comercio, servicios y construcción, con unas 630-665 respuestas por trimestre (</w:t>
      </w:r>
      <w:hyperlink r:id="rId20" w:history="1">
        <w:r>
          <w:rPr>
            <w:rStyle w:val="Hipervnculo"/>
          </w:rPr>
          <w:t xml:space="preserve">nota metodológica</w:t>
        </w:r>
      </w:hyperlink>
      <w:r>
        <w:rPr/>
        <w:t xml:space="preserve">).</w:t>
      </w:r>
    </w:p>
    <w:p>
      <w:pPr>
        <w:pStyle w:val="Prrafodelista"/>
        <w:numPr>
          <w:ilvl w:val="0"/>
          <w:numId w:val="3"/>
        </w:numPr>
      </w:pPr>
      <w:r>
        <w:rPr>
          <w:b/>
        </w:rPr>
        <w:t xml:space="preserve">El cambio. </w:t>
      </w:r>
      <w:r>
        <w:rPr/>
        <w:t xml:space="preserve">Desde el comunicado de IV-22 (16-feb-2023) Banxico usa un diseño basado en los Censos Económicos 2019, con cuatro regiones, y recalculó la historia hasta IV-20. La muestra anterior tenía al menos 450 empresas.</w:t>
      </w:r>
    </w:p>
    <w:p>
      <w:pPr>
        <w:pStyle w:val="Prrafodelista"/>
        <w:numPr>
          <w:ilvl w:val="0"/>
          <w:numId w:val="3"/>
        </w:numPr>
      </w:pPr>
      <w:r>
        <w:rPr>
          <w:b/>
        </w:rPr>
        <w:t xml:space="preserve">Por qué importa. </w:t>
      </w:r>
      <w:r>
        <w:rPr/>
        <w:t xml:space="preserve">Para los mismos trimestres, la muestra anterior da en promedio 5.8 pp más de crédito nuevo (rango 3.2 a 8.8) y 7.0 pp más de crédito vigente (4.1 a 10.9). IV-20 aparece en ambas: 16.8% en la anterior y 13.6% en la vigente.</w:t>
      </w:r>
    </w:p>
    <w:p>
      <w:pPr>
        <w:pStyle w:val="Prrafodelista"/>
        <w:numPr>
          <w:ilvl w:val="0"/>
          <w:numId w:val="3"/>
        </w:numPr>
      </w:pPr>
      <w:r>
        <w:rPr>
          <w:b/>
        </w:rPr>
        <w:t xml:space="preserve">Los cuatro trimestres de 2020. </w:t>
      </w:r>
      <w:r>
        <w:rPr/>
        <w:t xml:space="preserve">I, II y III de 2020 vienen de la muestra anterior (24.2%, 21.6% y 19.0% de crédito nuevo); IV-20 tiene los dos valores. Sirven para la dirección de la pandemia, no para empalmar niveles.</w:t>
      </w:r>
    </w:p>
    <w:p>
      <w:pPr>
        <w:pStyle w:val="Prrafodelista"/>
        <w:numPr>
          <w:ilvl w:val="0"/>
          <w:numId w:val="3"/>
        </w:numPr>
      </w:pPr>
      <w:r>
        <w:rPr>
          <w:b/>
        </w:rPr>
        <w:t xml:space="preserve">Límite de los índices. </w:t>
      </w:r>
      <w:r>
        <w:rPr/>
        <w:t xml:space="preserve">Los índices de difusión de costo y acceso se calculan solo entre empresas que usaron crédito nuevo (11-17% de la muestra), así que se mueven mucho de un trimestre a otro.</w:t>
      </w:r>
    </w:p>
    <w:p>
      <w:pPr>
        <w:pStyle w:val="Ttulo2"/>
        <w:keepNext/>
      </w:pPr>
      <w:r>
        <w:rPr/>
        <w:t xml:space="preserve">Variables: qué son y en qué unidad están</w:t>
      </w:r>
    </w:p>
    <w:p>
      <w:pPr>
        <w:keepNext/>
      </w:pPr>
      <w:r>
        <w:rPr/>
        <w:t xml:space="preserve">Casi todas las variables son porcentajes de empresas que respondieron la encuesta en el trimestre; no son montos de crédito. La lista completa está en la hoja Variables del Excel.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shd w:val="clear" w:color="auto" w:fill="F2F2F2"/>
          </w:tcPr>
          <w:p>
            <w:pPr>
              <w:keepNext/>
            </w:pPr>
            <w:r>
              <w:rPr/>
              <w:t xml:space="preserve">Variable</w:t>
            </w:r>
          </w:p>
        </w:tc>
        <w:tc>
          <w:tcPr>
            <w:tcW w:type="dxa" w:w="4760"/>
            <w:shd w:val="clear" w:color="auto" w:fill="F2F2F2"/>
          </w:tcPr>
          <w:p>
            <w:pPr>
              <w:keepNext/>
            </w:pPr>
            <w:r>
              <w:rPr/>
              <w:t xml:space="preserve">Qué mide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Unidad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Usaron nuevo crédito bancario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Empresas que obtuvieron y usaron crédito bancario nuevo en el trimestre (flujo)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% de empresas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Con crédito al inicio del trimestre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Empresas que ya tenían crédito bancario vigente (saldo; es una foto, no una suma)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% de empresas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Hasta 100 / más de 100 empleados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Corte por tamaño de Banxico: 11 a 100 (pequeñas y parte de las medianas) y más de 100 (resto de medianas y grandes)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% de empresas de ese tamaño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Brecha por tamaño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Más de 100 menos hasta 100 empleados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Puntos porcentuales (pp)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Tasa de rechazo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Rechazadas / (rechazadas + empresas que usaron crédito nuevo); cálculo propio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% de solicitudes resueltas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Índice de costo (tasas, comisiones)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Opinión de quienes usaron crédito nuevo: arriba de 50 = más barato que el trimestre anterior; abajo de 50 = más caro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Índice 0-100</w:t>
            </w:r>
          </w:p>
        </w:tc>
      </w:tr>
      <w:tr>
        <w:tc>
          <w:tcPr>
            <w:tcW w:type="dxa" w:w="2600"/>
          </w:tcPr>
          <w:p>
            <w:pPr>
              <w:keepNext/>
            </w:pPr>
            <w:r>
              <w:rPr>
                <w:b/>
              </w:rPr>
              <w:t xml:space="preserve">Fuentes de financiamiento</w:t>
            </w:r>
          </w:p>
        </w:tc>
        <w:tc>
          <w:tcPr>
            <w:tcW w:type="dxa" w:w="4760"/>
          </w:tcPr>
          <w:p>
            <w:pPr>
              <w:keepNext/>
            </w:pPr>
            <w:r>
              <w:rPr/>
              <w:t xml:space="preserve">Empresas que usaron cada fuente; respuesta múltiple, no suman 100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% de empresas</w:t>
            </w:r>
          </w:p>
        </w:tc>
      </w:tr>
      <w:tr>
        <w:tc>
          <w:tcPr>
            <w:tcW w:type="dxa" w:w="2600"/>
          </w:tcPr>
          <w:p>
            <w:pPr/>
            <w:r>
              <w:rPr>
                <w:b/>
              </w:rPr>
              <w:t xml:space="preserve">Tasa objetivo y TIIE 28 días</w:t>
            </w:r>
          </w:p>
        </w:tc>
        <w:tc>
          <w:tcPr>
            <w:tcW w:type="dxa" w:w="4760"/>
          </w:tcPr>
          <w:p>
            <w:pPr/>
            <w:r>
              <w:rPr/>
              <w:t xml:space="preserve">Tasa de política de Banxico y tasa interbancaria de referencia, al cierre del trimestre</w:t>
            </w:r>
          </w:p>
        </w:tc>
        <w:tc>
          <w:tcPr>
            <w:tcW w:type="dxa" w:w="2000"/>
          </w:tcPr>
          <w:p>
            <w:pPr/>
            <w:r>
              <w:rPr/>
              <w:t xml:space="preserve">% anual</w:t>
            </w:r>
          </w:p>
        </w:tc>
      </w:tr>
    </w:tbl>
    <w:p>
      <w:pPr>
        <w:spacing w:before="160"/>
      </w:pPr>
      <w:r>
        <w:rPr>
          <w:b/>
        </w:rPr>
        <w:t xml:space="preserve">¿Los datos son acumulados? </w:t>
      </w:r>
      <w:r>
        <w:rPr/>
        <w:t xml:space="preserve">No. Cada comunicado pregunta por lo que pasó en el trimestre de referencia, y el IV trimestre mide solo octubre-diciembre, no el año completo. En 2025, por ejemplo, el IV trimestre fue 15.3% y el promedio del año 13.8%. Por eso el dato anual de este informe es el promedio simple de los trimestres de cada año (Gráfica 2 y hoja Resumen anual).</w:t>
      </w:r>
    </w:p>
    <w:p>
      <w:pPr>
        <w:pStyle w:val="Ttulo2"/>
        <w:keepNext/>
      </w:pPr>
      <w:r>
        <w:rPr/>
        <w:t xml:space="preserve">Hipótesis 2020-2026</w:t>
      </w:r>
    </w:p>
    <w:p>
      <w:pPr>
        <w:keepNext/>
      </w:pPr>
      <w:r>
        <w:rPr/>
        <w:t xml:space="preserve">Seis hipótesis guían la lectura de la encuesta. Cada una se prueba con las series del Excel (hoja Hipótesis).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3700"/>
        <w:gridCol w:w="4060"/>
        <w:gridCol w:w="1600"/>
      </w:tblGrid>
      <w:tr>
        <w:trPr>
          <w:tblHeader/>
        </w:trPr>
        <w:tc>
          <w:tcPr>
            <w:tcW w:type="dxa" w:w="3700"/>
            <w:shd w:val="clear" w:color="auto" w:fill="F2F2F2"/>
          </w:tcPr>
          <w:p>
            <w:pPr>
              <w:keepNext/>
            </w:pPr>
            <w:r>
              <w:rPr/>
              <w:t xml:space="preserve">Hipótesis</w:t>
            </w:r>
          </w:p>
        </w:tc>
        <w:tc>
          <w:tcPr>
            <w:tcW w:type="dxa" w:w="4060"/>
            <w:shd w:val="clear" w:color="auto" w:fill="F2F2F2"/>
          </w:tcPr>
          <w:p>
            <w:pPr>
              <w:keepNext/>
            </w:pPr>
            <w:r>
              <w:rPr/>
              <w:t xml:space="preserve">Qué dicen los datos</w:t>
            </w:r>
          </w:p>
        </w:tc>
        <w:tc>
          <w:tcPr>
            <w:tcW w:type="dxa" w:w="1600"/>
            <w:shd w:val="clear" w:color="auto" w:fill="F2F2F2"/>
          </w:tcPr>
          <w:p>
            <w:pPr>
              <w:keepNext/>
            </w:pPr>
            <w:r>
              <w:rPr/>
              <w:t xml:space="preserve">Resultado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H1. Entre 2020 y 2026 cae el flujo de crédito nuevo, mientras el saldo (empresas con crédito) se mantiene.</w:t>
            </w:r>
          </w:p>
        </w:tc>
        <w:tc>
          <w:tcPr>
            <w:tcW w:type="dxa" w:w="4060"/>
          </w:tcPr>
          <w:p>
            <w:pPr>
              <w:keepNext/>
            </w:pPr>
            <w:r>
              <w:rPr/>
              <w:t xml:space="preserve">Crédito nuevo: 15.4% (2023) a 12.2% (2026). Con crédito: 37.8% a 37.2%. En 2020 la caída fue por la pandemia.</w:t>
            </w:r>
          </w:p>
        </w:tc>
        <w:tc>
          <w:tcPr>
            <w:tcW w:type="dxa" w:w="1600"/>
          </w:tcPr>
          <w:p>
            <w:pPr>
              <w:keepNext/>
            </w:pPr>
            <w:r>
              <w:rPr/>
              <w:t xml:space="preserve">Se sostiene desde 2023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H2. La caída se concentra en las empresas de 11 a 100 empleados y la brecha por tamaño se abre.</w:t>
            </w:r>
          </w:p>
        </w:tc>
        <w:tc>
          <w:tcPr>
            <w:tcW w:type="dxa" w:w="4060"/>
          </w:tcPr>
          <w:p>
            <w:pPr>
              <w:keepNext/>
            </w:pPr>
            <w:r>
              <w:rPr/>
              <w:t xml:space="preserve">Brecha de crédito vigente: 6.8 pp (2023) a 12.4 pp (2026). Crédito nuevo II-26: 9.9% pymes vs 21.6% grandes.</w:t>
            </w:r>
          </w:p>
        </w:tc>
        <w:tc>
          <w:tcPr>
            <w:tcW w:type="dxa" w:w="1600"/>
          </w:tcPr>
          <w:p>
            <w:pPr>
              <w:keepNext/>
            </w:pPr>
            <w:r>
              <w:rPr/>
              <w:t xml:space="preserve">Se sostiene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H3. Los recortes de Banxico (2024-2026) no se tradujeron en más crédito nuevo ni en menor costo percibido.</w:t>
            </w:r>
          </w:p>
        </w:tc>
        <w:tc>
          <w:tcPr>
            <w:tcW w:type="dxa" w:w="4060"/>
          </w:tcPr>
          <w:p>
            <w:pPr>
              <w:keepNext/>
            </w:pPr>
            <w:r>
              <w:rPr/>
              <w:t xml:space="preserve">Crédito nuevo: 15.2% en la meseta vs 13.6% en recortes. Índice de tasas: 49.0 (III-25) a 39.4 (II-26).</w:t>
            </w:r>
          </w:p>
        </w:tc>
        <w:tc>
          <w:tcPr>
            <w:tcW w:type="dxa" w:w="1600"/>
          </w:tcPr>
          <w:p>
            <w:pPr>
              <w:keepNext/>
            </w:pPr>
            <w:r>
              <w:rPr/>
              <w:t xml:space="preserve">Se sostiene en parte; falta la TIIE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H4. En 2026 los bancos endurecieron la oferta y el rechazo pega más a las pymes.</w:t>
            </w:r>
          </w:p>
        </w:tc>
        <w:tc>
          <w:tcPr>
            <w:tcW w:type="dxa" w:w="4060"/>
          </w:tcPr>
          <w:p>
            <w:pPr>
              <w:keepNext/>
            </w:pPr>
            <w:r>
              <w:rPr/>
              <w:t xml:space="preserve">Rechazo: 23.4% en 2026 vs 6.4% en 2025. Por tamaño: sin dato.</w:t>
            </w:r>
          </w:p>
        </w:tc>
        <w:tc>
          <w:tcPr>
            <w:tcW w:type="dxa" w:w="1600"/>
          </w:tcPr>
          <w:p>
            <w:pPr>
              <w:keepNext/>
            </w:pPr>
            <w:r>
              <w:rPr/>
              <w:t xml:space="preserve">Primera parte se sostiene; por tamaño, pendiente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H5. La restricción principal es de demanda (ventas, situación económica), no de acceso.</w:t>
            </w:r>
          </w:p>
        </w:tc>
        <w:tc>
          <w:tcPr>
            <w:tcW w:type="dxa" w:w="4060"/>
          </w:tcPr>
          <w:p>
            <w:pPr>
              <w:keepNext/>
            </w:pPr>
            <w:r>
              <w:rPr/>
              <w:t xml:space="preserve">II-26: ventas 44.6% y acceso 1.2% como problema principal; 82.1% no solicitó crédito.</w:t>
            </w:r>
          </w:p>
        </w:tc>
        <w:tc>
          <w:tcPr>
            <w:tcW w:type="dxa" w:w="1600"/>
          </w:tcPr>
          <w:p>
            <w:pPr>
              <w:keepNext/>
            </w:pPr>
            <w:r>
              <w:rPr/>
              <w:t xml:space="preserve">Se sostiene</w:t>
            </w:r>
          </w:p>
        </w:tc>
      </w:tr>
      <w:tr>
        <w:tc>
          <w:tcPr>
            <w:tcW w:type="dxa" w:w="3700"/>
          </w:tcPr>
          <w:p>
            <w:pPr/>
            <w:r>
              <w:rPr/>
              <w:t xml:space="preserve">H6. Las exportadoras tienen más acceso a crédito bancario que las no exportadoras.</w:t>
            </w:r>
          </w:p>
        </w:tc>
        <w:tc>
          <w:tcPr>
            <w:tcW w:type="dxa" w:w="4060"/>
          </w:tcPr>
          <w:p>
            <w:pPr/>
            <w:r>
              <w:rPr/>
              <w:t xml:space="preserve">Sin dato en las cifras capturadas (ver Componente de exportaciones).</w:t>
            </w:r>
          </w:p>
        </w:tc>
        <w:tc>
          <w:tcPr>
            <w:tcW w:type="dxa" w:w="1600"/>
          </w:tcPr>
          <w:p>
            <w:pPr/>
            <w:r>
              <w:rPr/>
              <w:t xml:space="preserve">Pendiente</w:t>
            </w:r>
          </w:p>
        </w:tc>
      </w:tr>
    </w:tbl>
    <w:p>
      <w:pPr>
        <w:pStyle w:val="Ttulo2"/>
        <w:keepNext/>
        <w:spacing w:before="160"/>
      </w:pPr>
      <w:r>
        <w:rPr/>
        <w:t xml:space="preserve">Crédito nuevo: cae el flujo, no el saldo</w:t>
      </w:r>
    </w:p>
    <w:p>
      <w:pPr/>
      <w:r>
        <w:rPr/>
        <w:t xml:space="preserve">Por año, el crédito nuevo pasó de 15.4% (2023) a 12.2% en el primer semestre de 2026: una tendencia de -1.0 pp por año desde I-23. Si se toma todo el periodo IV-20 a II-26 la recta es casi plana (-0.03 pp por año), porque 2021 fue muy bajo; la caída es de 2023 en adelante.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852928"/>
            <wp:docPr id="1" name="Picture 1" descr="Crédito bancario nuevo 2020-2026 y tendenc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nuevo_credito_tendencia.png" descr="Crédito bancario nuevo 2020-2026 y tendencia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  <w:sz w:val="18"/>
        </w:rPr>
        <w:t xml:space="preserve">Gráfica 1 · Fuente: </w:t>
      </w:r>
      <w:r>
        <w:rPr>
          <w:sz w:val="18"/>
        </w:rPr>
        <w:t xml:space="preserve">Banxico, comunicados de la Encuesta de Evaluación Coyuntural del Mercado Crediticio: muestra anterior (I-2020 a II-2022) y diseño vigente (IV-2020 a II-2026). Tendencia: mínimos cuadrados, I-23 a II-26. Datos: Excel, hoja Serie completa 2020-2026.</w:t>
      </w:r>
    </w:p>
    <w:p>
      <w:pPr>
        <w:keepNext/>
      </w:pPr>
      <w:r>
        <w:rPr>
          <w:b/>
        </w:rPr>
        <w:t xml:space="preserve">Crédito nuevo por año, 2020-2026. </w:t>
      </w:r>
      <w:r>
        <w:rPr/>
        <w:t xml:space="preserve">Promedio de los trimestres de cada año; la columna del IV trimestre muestra que ese dato no es el acumulado.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3060"/>
        <w:gridCol w:w="1200"/>
        <w:gridCol w:w="1900"/>
        <w:gridCol w:w="1400"/>
        <w:gridCol w:w="1800"/>
      </w:tblGrid>
      <w:tr>
        <w:trPr>
          <w:tblHeader/>
        </w:trPr>
        <w:tc>
          <w:tcPr>
            <w:tcW w:type="dxa" w:w="3060"/>
            <w:shd w:val="clear" w:color="auto" w:fill="F2F2F2"/>
          </w:tcPr>
          <w:p>
            <w:pPr>
              <w:keepNext/>
            </w:pPr>
            <w:r>
              <w:rPr/>
              <w:t xml:space="preserve">Año</w:t>
            </w:r>
          </w:p>
        </w:tc>
        <w:tc>
          <w:tcPr>
            <w:tcW w:type="dxa" w:w="1200"/>
            <w:shd w:val="clear" w:color="auto" w:fill="F2F2F2"/>
          </w:tcPr>
          <w:p>
            <w:pPr>
              <w:keepNext/>
            </w:pPr>
            <w:r>
              <w:rPr/>
              <w:t xml:space="preserve">Trimestres</w:t>
            </w:r>
          </w:p>
        </w:tc>
        <w:tc>
          <w:tcPr>
            <w:tcW w:type="dxa" w:w="1900"/>
            <w:shd w:val="clear" w:color="auto" w:fill="F2F2F2"/>
          </w:tcPr>
          <w:p>
            <w:pPr>
              <w:keepNext/>
            </w:pPr>
            <w:r>
              <w:rPr/>
              <w:t xml:space="preserve">Usaron crédito nuevo, promedio (%)</w:t>
            </w:r>
          </w:p>
        </w:tc>
        <w:tc>
          <w:tcPr>
            <w:tcW w:type="dxa" w:w="1400"/>
            <w:shd w:val="clear" w:color="auto" w:fill="F2F2F2"/>
          </w:tcPr>
          <w:p>
            <w:pPr>
              <w:keepNext/>
            </w:pPr>
            <w:r>
              <w:rPr/>
              <w:t xml:space="preserve">IV trimestre (%)</w:t>
            </w:r>
          </w:p>
        </w:tc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Con crédito al inicio, promedio (%)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2020 · muestra anterior (I-IV)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4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20.4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16.8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46.5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2020 · diseño vigente (solo IV)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1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13.6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13.6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39.7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2021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4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11.8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9.0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37.7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2022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4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15.4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13.8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39.3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2023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4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15.4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15.6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37.8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2024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4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14.1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12.1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39.0</w:t>
            </w:r>
          </w:p>
        </w:tc>
      </w:tr>
      <w:tr>
        <w:tc>
          <w:tcPr>
            <w:tcW w:type="dxa" w:w="3060"/>
          </w:tcPr>
          <w:p>
            <w:pPr>
              <w:keepNext/>
            </w:pPr>
            <w:r>
              <w:rPr>
                <w:b/>
              </w:rPr>
              <w:t xml:space="preserve">2025</w:t>
            </w:r>
          </w:p>
        </w:tc>
        <w:tc>
          <w:tcPr>
            <w:tcW w:type="dxa" w:w="1200"/>
          </w:tcPr>
          <w:p>
            <w:pPr>
              <w:keepNext/>
            </w:pPr>
            <w:r>
              <w:rPr/>
              <w:t xml:space="preserve">4</w:t>
            </w:r>
          </w:p>
        </w:tc>
        <w:tc>
          <w:tcPr>
            <w:tcW w:type="dxa" w:w="1900"/>
          </w:tcPr>
          <w:p>
            <w:pPr>
              <w:keepNext/>
            </w:pPr>
            <w:r>
              <w:rPr/>
              <w:t xml:space="preserve">13.8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15.3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37.3</w:t>
            </w:r>
          </w:p>
        </w:tc>
      </w:tr>
      <w:tr>
        <w:tc>
          <w:tcPr>
            <w:tcW w:type="dxa" w:w="3060"/>
          </w:tcPr>
          <w:p>
            <w:pPr/>
            <w:r>
              <w:rPr>
                <w:b/>
              </w:rPr>
              <w:t xml:space="preserve">2026 · I y II (III pendiente)</w:t>
            </w:r>
          </w:p>
        </w:tc>
        <w:tc>
          <w:tcPr>
            <w:tcW w:type="dxa" w:w="1200"/>
          </w:tcPr>
          <w:p>
            <w:pPr/>
            <w:r>
              <w:rPr/>
              <w:t xml:space="preserve">2</w:t>
            </w:r>
          </w:p>
        </w:tc>
        <w:tc>
          <w:tcPr>
            <w:tcW w:type="dxa" w:w="1900"/>
          </w:tcPr>
          <w:p>
            <w:pPr/>
            <w:r>
              <w:rPr/>
              <w:t xml:space="preserve">12.2</w:t>
            </w:r>
          </w:p>
        </w:tc>
        <w:tc>
          <w:tcPr>
            <w:tcW w:type="dxa" w:w="1400"/>
          </w:tcPr>
          <w:p>
            <w:pPr/>
            <w:r>
              <w:rPr/>
              <w:t xml:space="preserve">n.d.</w:t>
            </w:r>
          </w:p>
        </w:tc>
        <w:tc>
          <w:tcPr>
            <w:tcW w:type="dxa" w:w="1800"/>
          </w:tcPr>
          <w:p>
            <w:pPr/>
            <w:r>
              <w:rPr/>
              <w:t xml:space="preserve">37.2</w:t>
            </w:r>
          </w:p>
        </w:tc>
      </w:tr>
    </w:tbl>
    <w:p>
      <w:pPr>
        <w:keepNext/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33472"/>
            <wp:docPr id="2" name="Picture 2" descr="Crédito nuevo por año 2020-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nuevo_credito_anual.png" descr="Crédito nuevo por año 2020-202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  <w:sz w:val="18"/>
        </w:rPr>
        <w:t xml:space="preserve">Gráfica 2 · Fuente: </w:t>
      </w:r>
      <w:r>
        <w:rPr>
          <w:sz w:val="18"/>
        </w:rPr>
        <w:t xml:space="preserve">Banxico, comunicados de la encuesta (muestra anterior para 2020 I-IV; diseño vigente IV-2020 a II-2026). Promedio simple de trimestres. Datos: Excel, hoja Resumen anual.</w:t>
      </w:r>
    </w:p>
    <w:p>
      <w:pPr>
        <w:keepNext/>
      </w:pPr>
      <w:r>
        <w:rPr>
          <w:b/>
        </w:rPr>
        <w:t xml:space="preserve">2020 trimestre por trimestre. </w:t>
      </w:r>
      <w:r>
        <w:rPr/>
        <w:t xml:space="preserve">Los tres primeros trimestres solo existen en la muestra anterior.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1200"/>
        <w:gridCol w:w="1300"/>
        <w:gridCol w:w="1400"/>
        <w:gridCol w:w="1400"/>
        <w:gridCol w:w="1300"/>
        <w:gridCol w:w="1400"/>
        <w:gridCol w:w="1360"/>
      </w:tblGrid>
      <w:tr>
        <w:trPr>
          <w:tblHeader/>
        </w:trPr>
        <w:tc>
          <w:tcPr>
            <w:tcW w:type="dxa" w:w="1200"/>
            <w:shd w:val="clear" w:color="auto" w:fill="F2F2F2"/>
          </w:tcPr>
          <w:p>
            <w:pPr>
              <w:keepNext/>
            </w:pPr>
            <w:r>
              <w:rPr/>
              <w:t xml:space="preserve">Trimestre</w:t>
            </w:r>
          </w:p>
        </w:tc>
        <w:tc>
          <w:tcPr>
            <w:tcW w:type="dxa" w:w="1300"/>
            <w:shd w:val="clear" w:color="auto" w:fill="F2F2F2"/>
          </w:tcPr>
          <w:p>
            <w:pPr>
              <w:keepNext/>
            </w:pPr>
            <w:r>
              <w:rPr/>
              <w:t xml:space="preserve">Muestra</w:t>
            </w:r>
          </w:p>
        </w:tc>
        <w:tc>
          <w:tcPr>
            <w:tcW w:type="dxa" w:w="1400"/>
            <w:shd w:val="clear" w:color="auto" w:fill="F2F2F2"/>
          </w:tcPr>
          <w:p>
            <w:pPr>
              <w:keepNext/>
            </w:pPr>
            <w:r>
              <w:rPr/>
              <w:t xml:space="preserve">Crédito nuevo (%)</w:t>
            </w:r>
          </w:p>
        </w:tc>
        <w:tc>
          <w:tcPr>
            <w:tcW w:type="dxa" w:w="1400"/>
            <w:shd w:val="clear" w:color="auto" w:fill="F2F2F2"/>
          </w:tcPr>
          <w:p>
            <w:pPr>
              <w:keepNext/>
            </w:pPr>
            <w:r>
              <w:rPr/>
              <w:t xml:space="preserve">Con crédito (%)</w:t>
            </w:r>
          </w:p>
        </w:tc>
        <w:tc>
          <w:tcPr>
            <w:tcW w:type="dxa" w:w="1300"/>
            <w:shd w:val="clear" w:color="auto" w:fill="F2F2F2"/>
          </w:tcPr>
          <w:p>
            <w:pPr>
              <w:keepNext/>
            </w:pPr>
            <w:r>
              <w:rPr/>
              <w:t xml:space="preserve">Índice de tasas</w:t>
            </w:r>
          </w:p>
        </w:tc>
        <w:tc>
          <w:tcPr>
            <w:tcW w:type="dxa" w:w="1400"/>
            <w:shd w:val="clear" w:color="auto" w:fill="F2F2F2"/>
          </w:tcPr>
          <w:p>
            <w:pPr>
              <w:keepNext/>
            </w:pPr>
            <w:r>
              <w:rPr/>
              <w:t xml:space="preserve">Sin limitante (%)</w:t>
            </w:r>
          </w:p>
        </w:tc>
        <w:tc>
          <w:tcPr>
            <w:tcW w:type="dxa" w:w="1360"/>
            <w:shd w:val="clear" w:color="auto" w:fill="F2F2F2"/>
          </w:tcPr>
          <w:p>
            <w:pPr>
              <w:keepNext/>
            </w:pPr>
            <w:r>
              <w:rPr/>
              <w:t xml:space="preserve">Tasa objetivo (%)</w:t>
            </w:r>
          </w:p>
        </w:tc>
      </w:tr>
      <w:tr>
        <w:tc>
          <w:tcPr>
            <w:tcW w:type="dxa" w:w="1200"/>
          </w:tcPr>
          <w:p>
            <w:pPr>
              <w:keepNext/>
            </w:pPr>
            <w:r>
              <w:rPr>
                <w:b/>
              </w:rPr>
              <w:t xml:space="preserve">I-20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Anterior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24.2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47.6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61.1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54.5</w:t>
            </w:r>
          </w:p>
        </w:tc>
        <w:tc>
          <w:tcPr>
            <w:tcW w:type="dxa" w:w="1360"/>
          </w:tcPr>
          <w:p>
            <w:pPr>
              <w:keepNext/>
            </w:pPr>
            <w:r>
              <w:rPr/>
              <w:t xml:space="preserve">6.50</w:t>
            </w:r>
          </w:p>
        </w:tc>
      </w:tr>
      <w:tr>
        <w:tc>
          <w:tcPr>
            <w:tcW w:type="dxa" w:w="1200"/>
          </w:tcPr>
          <w:p>
            <w:pPr>
              <w:keepNext/>
            </w:pPr>
            <w:r>
              <w:rPr>
                <w:b/>
              </w:rPr>
              <w:t xml:space="preserve">II-20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Anterior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21.6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47.5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38.5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48.1</w:t>
            </w:r>
          </w:p>
        </w:tc>
        <w:tc>
          <w:tcPr>
            <w:tcW w:type="dxa" w:w="1360"/>
          </w:tcPr>
          <w:p>
            <w:pPr>
              <w:keepNext/>
            </w:pPr>
            <w:r>
              <w:rPr/>
              <w:t xml:space="preserve">5.00</w:t>
            </w:r>
          </w:p>
        </w:tc>
      </w:tr>
      <w:tr>
        <w:tc>
          <w:tcPr>
            <w:tcW w:type="dxa" w:w="1200"/>
          </w:tcPr>
          <w:p>
            <w:pPr>
              <w:keepNext/>
            </w:pPr>
            <w:r>
              <w:rPr>
                <w:b/>
              </w:rPr>
              <w:t xml:space="preserve">III-20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Anterior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19.0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46.9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50.8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48.5</w:t>
            </w:r>
          </w:p>
        </w:tc>
        <w:tc>
          <w:tcPr>
            <w:tcW w:type="dxa" w:w="1360"/>
          </w:tcPr>
          <w:p>
            <w:pPr>
              <w:keepNext/>
            </w:pPr>
            <w:r>
              <w:rPr/>
              <w:t xml:space="preserve">4.25</w:t>
            </w:r>
          </w:p>
        </w:tc>
      </w:tr>
      <w:tr>
        <w:tc>
          <w:tcPr>
            <w:tcW w:type="dxa" w:w="1200"/>
          </w:tcPr>
          <w:p>
            <w:pPr>
              <w:keepNext/>
            </w:pPr>
            <w:r>
              <w:rPr>
                <w:b/>
              </w:rPr>
              <w:t xml:space="preserve">IV-20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Anterior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16.8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43.9</w:t>
            </w:r>
          </w:p>
        </w:tc>
        <w:tc>
          <w:tcPr>
            <w:tcW w:type="dxa" w:w="1300"/>
          </w:tcPr>
          <w:p>
            <w:pPr>
              <w:keepNext/>
            </w:pPr>
            <w:r>
              <w:rPr/>
              <w:t xml:space="preserve">45.1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50.2</w:t>
            </w:r>
          </w:p>
        </w:tc>
        <w:tc>
          <w:tcPr>
            <w:tcW w:type="dxa" w:w="1360"/>
          </w:tcPr>
          <w:p>
            <w:pPr>
              <w:keepNext/>
            </w:pPr>
            <w:r>
              <w:rPr/>
              <w:t xml:space="preserve">4.25</w:t>
            </w:r>
          </w:p>
        </w:tc>
      </w:tr>
      <w:tr>
        <w:tc>
          <w:tcPr>
            <w:tcW w:type="dxa" w:w="1200"/>
          </w:tcPr>
          <w:p>
            <w:pPr/>
            <w:r>
              <w:rPr>
                <w:b/>
              </w:rPr>
              <w:t xml:space="preserve">IV-20</w:t>
            </w:r>
          </w:p>
        </w:tc>
        <w:tc>
          <w:tcPr>
            <w:tcW w:type="dxa" w:w="1300"/>
          </w:tcPr>
          <w:p>
            <w:pPr/>
            <w:r>
              <w:rPr/>
              <w:t xml:space="preserve">Vigente</w:t>
            </w:r>
          </w:p>
        </w:tc>
        <w:tc>
          <w:tcPr>
            <w:tcW w:type="dxa" w:w="1400"/>
          </w:tcPr>
          <w:p>
            <w:pPr/>
            <w:r>
              <w:rPr/>
              <w:t xml:space="preserve">13.6</w:t>
            </w:r>
          </w:p>
        </w:tc>
        <w:tc>
          <w:tcPr>
            <w:tcW w:type="dxa" w:w="1400"/>
          </w:tcPr>
          <w:p>
            <w:pPr/>
            <w:r>
              <w:rPr/>
              <w:t xml:space="preserve">39.7</w:t>
            </w:r>
          </w:p>
        </w:tc>
        <w:tc>
          <w:tcPr>
            <w:tcW w:type="dxa" w:w="1300"/>
          </w:tcPr>
          <w:p>
            <w:pPr/>
            <w:r>
              <w:rPr/>
              <w:t xml:space="preserve">n.d.</w:t>
            </w:r>
          </w:p>
        </w:tc>
        <w:tc>
          <w:tcPr>
            <w:tcW w:type="dxa" w:w="1400"/>
          </w:tcPr>
          <w:p>
            <w:pPr/>
            <w:r>
              <w:rPr/>
              <w:t xml:space="preserve">47.3</w:t>
            </w:r>
          </w:p>
        </w:tc>
        <w:tc>
          <w:tcPr>
            <w:tcW w:type="dxa" w:w="1360"/>
          </w:tcPr>
          <w:p>
            <w:pPr/>
            <w:r>
              <w:rPr/>
              <w:t xml:space="preserve">4.25</w:t>
            </w:r>
          </w:p>
        </w:tc>
      </w:tr>
    </w:tbl>
    <w:p>
      <w:pPr>
        <w:keepNext/>
        <w:spacing w:before="160"/>
      </w:pPr>
      <w:r>
        <w:rPr>
          <w:b/>
        </w:rPr>
        <w:t xml:space="preserve">2026 trimestre por trimestre. </w:t>
      </w:r>
      <w:r>
        <w:rPr/>
        <w:t xml:space="preserve">III-26 se publica el 19 de noviembre de 2026; solo se conoce la tasa objetivo.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shd w:val="clear" w:color="auto" w:fill="F2F2F2"/>
          </w:tcPr>
          <w:p>
            <w:pPr>
              <w:keepNext/>
            </w:pPr>
            <w:r>
              <w:rPr/>
              <w:t xml:space="preserve">Indicador</w:t>
            </w:r>
          </w:p>
        </w:tc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I-26</w:t>
            </w:r>
          </w:p>
        </w:tc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II-26</w:t>
            </w:r>
          </w:p>
        </w:tc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III-26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Usaron crédito nuevo (%)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13.1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11.2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   Hasta 100 empleados (%)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12.1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9.9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   Más de 100 empleados (%)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20.4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21.6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Con crédito al inicio (%)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37.0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37.3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Tasa de rechazo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22.5%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24.3%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Índice de tasas de interés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44.9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39.4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>
              <w:keepNext/>
            </w:pPr>
            <w:r>
              <w:rPr/>
              <w:t xml:space="preserve">Banca comercial como fuente (%)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25.0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24.5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pendiente</w:t>
            </w:r>
          </w:p>
        </w:tc>
      </w:tr>
      <w:tr>
        <w:tc>
          <w:tcPr>
            <w:tcW w:type="dxa" w:w="3960"/>
          </w:tcPr>
          <w:p>
            <w:pPr/>
            <w:r>
              <w:rPr/>
              <w:t xml:space="preserve">Tasa objetivo fin de trimestre (%)</w:t>
            </w:r>
          </w:p>
        </w:tc>
        <w:tc>
          <w:tcPr>
            <w:tcW w:type="dxa" w:w="1800"/>
          </w:tcPr>
          <w:p>
            <w:pPr/>
            <w:r>
              <w:rPr/>
              <w:t xml:space="preserve">6.75</w:t>
            </w:r>
          </w:p>
        </w:tc>
        <w:tc>
          <w:tcPr>
            <w:tcW w:type="dxa" w:w="1800"/>
          </w:tcPr>
          <w:p>
            <w:pPr/>
            <w:r>
              <w:rPr/>
              <w:t xml:space="preserve">6.50</w:t>
            </w:r>
          </w:p>
        </w:tc>
        <w:tc>
          <w:tcPr>
            <w:tcW w:type="dxa" w:w="1800"/>
          </w:tcPr>
          <w:p>
            <w:pPr/>
            <w:r>
              <w:rPr/>
              <w:t xml:space="preserve">6.50</w:t>
            </w:r>
          </w:p>
        </w:tc>
      </w:tr>
    </w:tbl>
    <w:p>
      <w:pPr>
        <w:pStyle w:val="Prrafodelista"/>
        <w:numPr>
          <w:ilvl w:val="0"/>
          <w:numId w:val="4"/>
        </w:numPr>
        <w:spacing w:before="160"/>
      </w:pPr>
      <w:r>
        <w:rPr>
          <w:b/>
        </w:rPr>
        <w:t xml:space="preserve">El saldo no se mueve. </w:t>
      </w:r>
      <w:r>
        <w:rPr/>
        <w:t xml:space="preserve">Las empresas con crédito bancario al inicio del trimestre oscilan entre 35.8% y 41.9% sin tendencia; hoy son 37.3%. Lo que se contrae es la nueva originación.</w:t>
      </w:r>
    </w:p>
    <w:p>
      <w:pPr>
        <w:pStyle w:val="Prrafodelista"/>
        <w:numPr>
          <w:ilvl w:val="0"/>
          <w:numId w:val="4"/>
        </w:numPr>
      </w:pPr>
      <w:r>
        <w:rPr>
          <w:b/>
        </w:rPr>
        <w:t xml:space="preserve">Ruido trimestral. </w:t>
      </w:r>
      <w:r>
        <w:rPr/>
        <w:t xml:space="preserve">Con unas 650 respuestas, el error de muestreo de un trimestre es de ±2.7 pp (95%, muestreo simple) y mayor con el diseño real. Un salto de un trimestre a otro no dice mucho por sí solo.</w:t>
      </w:r>
    </w:p>
    <w:p>
      <w:pPr>
        <w:pStyle w:val="Prrafodelista"/>
        <w:numPr>
          <w:ilvl w:val="0"/>
          <w:numId w:val="4"/>
        </w:numPr>
      </w:pPr>
      <w:r>
        <w:rPr>
          <w:b/>
        </w:rPr>
        <w:t xml:space="preserve">Tendencia sí. </w:t>
      </w:r>
      <w:r>
        <w:rPr/>
        <w:t xml:space="preserve">La diferencia entre 2023 (15.4%) y el primer semestre de 2026 (12.2%) es de 3.2 pp. Supera el error de promedios anuales (±2.2 pp combinado), aunque con poco margen si el efecto de diseño es alto.</w:t>
      </w:r>
    </w:p>
    <w:p>
      <w:pPr>
        <w:pStyle w:val="Prrafodelista"/>
        <w:numPr>
          <w:ilvl w:val="0"/>
          <w:numId w:val="4"/>
        </w:numPr>
      </w:pPr>
      <w:r>
        <w:rPr>
          <w:b/>
        </w:rPr>
        <w:t xml:space="preserve">Casi nadie busca crédito. </w:t>
      </w:r>
      <w:r>
        <w:rPr/>
        <w:t xml:space="preserve">Entre 79% y 85% de las empresas no solicita crédito bancario cada trimestre; en II-26 fue 82.1%.</w:t>
      </w:r>
    </w:p>
    <w:p>
      <w:pPr>
        <w:pStyle w:val="Ttulo2"/>
        <w:keepNext/>
      </w:pPr>
      <w:r>
        <w:rPr/>
        <w:t xml:space="preserve">Brecha por tamaño: las pequeñas explican la caída</w:t>
      </w:r>
    </w:p>
    <w:p>
      <w:pPr/>
      <w:r>
        <w:rPr/>
        <w:t xml:space="preserve">Las empresas de más de 100 empleados sostienen su acceso; las de 11 a 100 son las que se retiran del crédito bancario. Banxico no separa pequeñas y medianas: su corte es hasta 100 empleados (pequeñas y parte de las medianas) y más de 100 (resto de las medianas y las grandes).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779776"/>
            <wp:docPr id="3" name="Picture 3" descr="Pymes vs grandes, con crédito y crédito nuevo, con tendenc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tamano_tendencia.png" descr="Pymes vs grandes, con crédito y crédito nuevo, con tendencia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  <w:sz w:val="18"/>
        </w:rPr>
        <w:t xml:space="preserve">Gráfica 3 · Fuente: </w:t>
      </w:r>
      <w:r>
        <w:rPr>
          <w:sz w:val="18"/>
        </w:rPr>
        <w:t xml:space="preserve">Banxico, comunicados de la encuesta, diseño vigente IV-2020 a II-2026; crédito nuevo por tamaño de los comunicados II y IV de cada año y de la prensa que cita los comunicados I-2024 e I-2026. Datos: Excel, hojas Series y Por tamaño.</w:t>
      </w:r>
    </w:p>
    <w:p>
      <w:pPr>
        <w:keepNext/>
      </w:pPr>
      <w:r>
        <w:rPr>
          <w:b/>
        </w:rPr>
        <w:t xml:space="preserve">Cuadro 1. Gran empresa (más de 100 empleados), promedio anual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1800"/>
        <w:gridCol w:w="2000"/>
        <w:gridCol w:w="2000"/>
        <w:gridCol w:w="2000"/>
        <w:gridCol w:w="1560"/>
      </w:tblGrid>
      <w:tr>
        <w:trPr>
          <w:tblHeader/>
        </w:trPr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Año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Con crédito al inicio (%)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Usaron crédito nuevo (%)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Trimestres con dato de crédito nuevo</w:t>
            </w:r>
          </w:p>
        </w:tc>
        <w:tc>
          <w:tcPr>
            <w:tcW w:type="dxa" w:w="1560"/>
            <w:shd w:val="clear" w:color="auto" w:fill="F2F2F2"/>
          </w:tcPr>
          <w:p>
            <w:pPr>
              <w:keepNext/>
            </w:pPr>
            <w:r>
              <w:rPr/>
              <w:t xml:space="preserve">Índice de tasas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2020 (solo IV)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46.9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0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2021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51.8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0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2022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45.9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20.5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1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2023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43.7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20.1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2024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47.1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21.3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2025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46.4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21.8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/>
            <w:r>
              <w:rPr>
                <w:b/>
              </w:rPr>
              <w:t xml:space="preserve">2026 (I y II)</w:t>
            </w:r>
          </w:p>
        </w:tc>
        <w:tc>
          <w:tcPr>
            <w:tcW w:type="dxa" w:w="2000"/>
          </w:tcPr>
          <w:p>
            <w:pPr/>
            <w:r>
              <w:rPr/>
              <w:t xml:space="preserve">48.1</w:t>
            </w:r>
          </w:p>
        </w:tc>
        <w:tc>
          <w:tcPr>
            <w:tcW w:type="dxa" w:w="2000"/>
          </w:tcPr>
          <w:p>
            <w:pPr/>
            <w:r>
              <w:rPr/>
              <w:t xml:space="preserve">21.0</w:t>
            </w:r>
          </w:p>
        </w:tc>
        <w:tc>
          <w:tcPr>
            <w:tcW w:type="dxa" w:w="2000"/>
          </w:tcPr>
          <w:p>
            <w:pPr/>
            <w:r>
              <w:rPr/>
              <w:t xml:space="preserve">2</w:t>
            </w:r>
          </w:p>
        </w:tc>
        <w:tc>
          <w:tcPr>
            <w:tcW w:type="dxa" w:w="1560"/>
          </w:tcPr>
          <w:p>
            <w:pPr/>
            <w:r>
              <w:rPr/>
              <w:t xml:space="preserve">53.7</w:t>
            </w:r>
          </w:p>
        </w:tc>
      </w:tr>
    </w:tbl>
    <w:p>
      <w:pPr>
        <w:keepNext/>
        <w:spacing w:before="160"/>
      </w:pPr>
      <w:r>
        <w:rPr>
          <w:b/>
        </w:rPr>
        <w:t xml:space="preserve">Cuadro 2. Pequeñas y medianas (11 a 100 empleados), promedio anual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1800"/>
        <w:gridCol w:w="2000"/>
        <w:gridCol w:w="2000"/>
        <w:gridCol w:w="2000"/>
        <w:gridCol w:w="1560"/>
      </w:tblGrid>
      <w:tr>
        <w:trPr>
          <w:tblHeader/>
        </w:trPr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Año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Con crédito al inicio (%)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Usaron crédito nuevo (%)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Trimestres con dato de crédito nuevo</w:t>
            </w:r>
          </w:p>
        </w:tc>
        <w:tc>
          <w:tcPr>
            <w:tcW w:type="dxa" w:w="1560"/>
            <w:shd w:val="clear" w:color="auto" w:fill="F2F2F2"/>
          </w:tcPr>
          <w:p>
            <w:pPr>
              <w:keepNext/>
            </w:pPr>
            <w:r>
              <w:rPr/>
              <w:t xml:space="preserve">Índice de tasas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2020 (solo IV)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38.7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0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2021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35.9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0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2022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38.4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13.0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1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2023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37.0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14.7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2024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37.9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12.8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>
              <w:keepNext/>
            </w:pPr>
            <w:r>
              <w:rPr>
                <w:b/>
              </w:rPr>
              <w:t xml:space="preserve">2025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36.1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14.3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2</w:t>
            </w:r>
          </w:p>
        </w:tc>
        <w:tc>
          <w:tcPr>
            <w:tcW w:type="dxa" w:w="1560"/>
          </w:tcPr>
          <w:p>
            <w:pPr>
              <w:keepNext/>
            </w:pPr>
            <w:r>
              <w:rPr/>
              <w:t xml:space="preserve">n.d.</w:t>
            </w:r>
          </w:p>
        </w:tc>
      </w:tr>
      <w:tr>
        <w:tc>
          <w:tcPr>
            <w:tcW w:type="dxa" w:w="1800"/>
          </w:tcPr>
          <w:p>
            <w:pPr/>
            <w:r>
              <w:rPr>
                <w:b/>
              </w:rPr>
              <w:t xml:space="preserve">2026 (I y II)</w:t>
            </w:r>
          </w:p>
        </w:tc>
        <w:tc>
          <w:tcPr>
            <w:tcW w:type="dxa" w:w="2000"/>
          </w:tcPr>
          <w:p>
            <w:pPr/>
            <w:r>
              <w:rPr/>
              <w:t xml:space="preserve">35.8</w:t>
            </w:r>
          </w:p>
        </w:tc>
        <w:tc>
          <w:tcPr>
            <w:tcW w:type="dxa" w:w="2000"/>
          </w:tcPr>
          <w:p>
            <w:pPr/>
            <w:r>
              <w:rPr/>
              <w:t xml:space="preserve">11.0</w:t>
            </w:r>
          </w:p>
        </w:tc>
        <w:tc>
          <w:tcPr>
            <w:tcW w:type="dxa" w:w="2000"/>
          </w:tcPr>
          <w:p>
            <w:pPr/>
            <w:r>
              <w:rPr/>
              <w:t xml:space="preserve">2</w:t>
            </w:r>
          </w:p>
        </w:tc>
        <w:tc>
          <w:tcPr>
            <w:tcW w:type="dxa" w:w="1560"/>
          </w:tcPr>
          <w:p>
            <w:pPr/>
            <w:r>
              <w:rPr/>
              <w:t xml:space="preserve">35.3</w:t>
            </w:r>
          </w:p>
        </w:tc>
      </w:tr>
    </w:tbl>
    <w:p>
      <w:pPr>
        <w:spacing w:before="160"/>
      </w:pPr>
      <w:r>
        <w:rPr>
          <w:sz w:val="18"/>
        </w:rPr>
        <w:t xml:space="preserve">El crédito nuevo por tamaño solo se capturó desde IV-22 (trimestres II y IV, más I-24 e I-26) y el índice de tasas por tamaño solo para II-26; lo demás queda pendiente de descargar del SIE. El detalle de los 27 trimestres de ambos cuadros está en la hoja Por tamaño del Excel.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560320"/>
            <wp:docPr id="4" name="Picture 4" descr="Brecha por tamaño por año 2020-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brecha_anual.png" descr="Brecha por tamaño por año 2020-2026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  <w:sz w:val="18"/>
        </w:rPr>
        <w:t xml:space="preserve">Gráfica 4 · Fuente: </w:t>
      </w:r>
      <w:r>
        <w:rPr>
          <w:sz w:val="18"/>
        </w:rPr>
        <w:t xml:space="preserve">cálculo propio con datos de Banxico (diseño vigente). Brecha = más de 100 menos hasta 100 empleados, promedio de los trimestres con dato. Datos: Excel, hoja Por tamaño, Cuadro C.</w:t>
      </w:r>
    </w:p>
    <w:p>
      <w:pPr>
        <w:pStyle w:val="Prrafodelista"/>
        <w:numPr>
          <w:ilvl w:val="0"/>
          <w:numId w:val="5"/>
        </w:numPr>
      </w:pPr>
      <w:r>
        <w:rPr>
          <w:b/>
        </w:rPr>
        <w:t xml:space="preserve">Crédito nuevo. </w:t>
      </w:r>
      <w:r>
        <w:rPr/>
        <w:t xml:space="preserve">Las grandes se mueven en una banda estrecha de 18.6% a 22.2%. Las pequeñas oscilan entre 9.9% y 16.3% (I-24), y II-26 es su valor más bajo entre los trimestres con dato.</w:t>
      </w:r>
    </w:p>
    <w:p>
      <w:pPr>
        <w:pStyle w:val="Prrafodelista"/>
        <w:numPr>
          <w:ilvl w:val="0"/>
          <w:numId w:val="5"/>
        </w:numPr>
      </w:pPr>
      <w:r>
        <w:rPr>
          <w:b/>
        </w:rPr>
        <w:t xml:space="preserve">Crédito vigente. </w:t>
      </w:r>
      <w:r>
        <w:rPr/>
        <w:t xml:space="preserve">Las pequeñas casi nunca pasan de 41% (máximo 41.1% en I-22) y hoy están en 35.7%. Las grandes bajaron de 54.4% (IV-21) a 38.9% (IV-22) y se recuperaron a 49.7%.</w:t>
      </w:r>
    </w:p>
    <w:p>
      <w:pPr>
        <w:pStyle w:val="Prrafodelista"/>
        <w:numPr>
          <w:ilvl w:val="0"/>
          <w:numId w:val="5"/>
        </w:numPr>
      </w:pPr>
      <w:r>
        <w:rPr>
          <w:b/>
        </w:rPr>
        <w:t xml:space="preserve">Brecha por año. </w:t>
      </w:r>
      <w:r>
        <w:rPr/>
        <w:t xml:space="preserve">La diferencia de crédito vigente fue 15.9 pp en 2021, bajó a 6.8 pp en 2023 y volvió a subir hasta 12.4 pp en 2026. En crédito nuevo, la brecha pasó de 5.5 pp (2023) a 10.0 pp (2026).</w:t>
      </w:r>
    </w:p>
    <w:p>
      <w:pPr>
        <w:pStyle w:val="Prrafodelista"/>
        <w:numPr>
          <w:ilvl w:val="0"/>
          <w:numId w:val="5"/>
        </w:numPr>
      </w:pPr>
      <w:r>
        <w:rPr>
          <w:b/>
        </w:rPr>
        <w:t xml:space="preserve">Costo, también dividido. </w:t>
      </w:r>
      <w:r>
        <w:rPr/>
        <w:t xml:space="preserve">En II-26 las pequeñas perciben tasas más caras (índice 35.3) y las grandes más baratas (53.7).</w:t>
      </w:r>
    </w:p>
    <w:p>
      <w:pPr>
        <w:pStyle w:val="Ttulo2"/>
        <w:keepNext/>
      </w:pPr>
      <w:r>
        <w:rPr/>
        <w:t xml:space="preserve">Más rechazo y costo percibido: 2020-2026, pymes y grandes</w:t>
      </w:r>
    </w:p>
    <w:p>
      <w:pPr/>
      <w:r>
        <w:rPr/>
        <w:t xml:space="preserve">En el primer semestre de 2026 la oferta bancaria se endureció: suben los rechazos y las empresas perciben crédito más caro, aunque la tasa de Banxico bajó.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633472"/>
            <wp:docPr id="5" name="Picture 5" descr="Tasa de rechazo e índice de cos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rechazo_costo.png" descr="Tasa de rechazo e índice de costo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  <w:sz w:val="18"/>
        </w:rPr>
        <w:t xml:space="preserve">Gráfica 5 · Fuente: </w:t>
      </w:r>
      <w:r>
        <w:rPr>
          <w:sz w:val="18"/>
        </w:rPr>
        <w:t xml:space="preserve">Banxico, cuadro 2 de los comunicados III-2022 a II-2026 (rechazo, cálculo propio) y muestra anterior I-2020 a II-2022 (índice de tasas). Datos: Excel, hoja Rechazo y costo.</w:t>
      </w:r>
    </w:p>
    <w:p>
      <w:pPr>
        <w:keepNext/>
      </w:pPr>
      <w:r>
        <w:rPr>
          <w:b/>
        </w:rPr>
        <w:t xml:space="preserve">Rechazo y costo por año. </w:t>
      </w:r>
      <w:r>
        <w:rPr/>
        <w:t xml:space="preserve">Promedio de los trimestres con dato.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900"/>
        <w:gridCol w:w="1400"/>
        <w:gridCol w:w="1500"/>
        <w:gridCol w:w="1500"/>
        <w:gridCol w:w="1500"/>
        <w:gridCol w:w="2560"/>
      </w:tblGrid>
      <w:tr>
        <w:trPr>
          <w:tblHeader/>
        </w:trPr>
        <w:tc>
          <w:tcPr>
            <w:tcW w:type="dxa" w:w="900"/>
            <w:shd w:val="clear" w:color="auto" w:fill="F2F2F2"/>
          </w:tcPr>
          <w:p>
            <w:pPr>
              <w:keepNext/>
            </w:pPr>
            <w:r>
              <w:rPr/>
              <w:t xml:space="preserve">Año</w:t>
            </w:r>
          </w:p>
        </w:tc>
        <w:tc>
          <w:tcPr>
            <w:tcW w:type="dxa" w:w="1400"/>
            <w:shd w:val="clear" w:color="auto" w:fill="F2F2F2"/>
          </w:tcPr>
          <w:p>
            <w:pPr>
              <w:keepNext/>
            </w:pPr>
            <w:r>
              <w:rPr/>
              <w:t xml:space="preserve">Tasa de rechazo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</w:pPr>
            <w:r>
              <w:rPr/>
              <w:t xml:space="preserve">Índice de tasas, total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</w:pPr>
            <w:r>
              <w:rPr/>
              <w:t xml:space="preserve">Índice de tasas, pymes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</w:pPr>
            <w:r>
              <w:rPr/>
              <w:t xml:space="preserve">Índice de tasas, grandes</w:t>
            </w:r>
          </w:p>
        </w:tc>
        <w:tc>
          <w:tcPr>
            <w:tcW w:type="dxa" w:w="2560"/>
            <w:shd w:val="clear" w:color="auto" w:fill="F2F2F2"/>
          </w:tcPr>
          <w:p>
            <w:pPr>
              <w:keepNext/>
            </w:pPr>
            <w:r>
              <w:rPr/>
              <w:t xml:space="preserve">Nota</w:t>
            </w:r>
          </w:p>
        </w:tc>
      </w:tr>
      <w:tr>
        <w:tc>
          <w:tcPr>
            <w:tcW w:type="dxa" w:w="900"/>
          </w:tcPr>
          <w:p>
            <w:pPr>
              <w:keepNext/>
            </w:pPr>
            <w:r>
              <w:rPr>
                <w:b/>
              </w:rPr>
              <w:t xml:space="preserve">2020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48.9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560"/>
          </w:tcPr>
          <w:p>
            <w:pPr>
              <w:keepNext/>
            </w:pPr>
            <w:r>
              <w:rPr/>
              <w:t xml:space="preserve">Índice: muestra anterior</w:t>
            </w:r>
          </w:p>
        </w:tc>
      </w:tr>
      <w:tr>
        <w:tc>
          <w:tcPr>
            <w:tcW w:type="dxa" w:w="900"/>
          </w:tcPr>
          <w:p>
            <w:pPr>
              <w:keepNext/>
            </w:pPr>
            <w:r>
              <w:rPr>
                <w:b/>
              </w:rPr>
              <w:t xml:space="preserve">2021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36.7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560"/>
          </w:tcPr>
          <w:p>
            <w:pPr>
              <w:keepNext/>
            </w:pPr>
            <w:r>
              <w:rPr/>
              <w:t xml:space="preserve">Índice: muestra anterior</w:t>
            </w:r>
          </w:p>
        </w:tc>
      </w:tr>
      <w:tr>
        <w:tc>
          <w:tcPr>
            <w:tcW w:type="dxa" w:w="900"/>
          </w:tcPr>
          <w:p>
            <w:pPr>
              <w:keepNext/>
            </w:pPr>
            <w:r>
              <w:rPr>
                <w:b/>
              </w:rPr>
              <w:t xml:space="preserve">2022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14.0%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22.6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560"/>
          </w:tcPr>
          <w:p>
            <w:pPr>
              <w:keepNext/>
            </w:pPr>
            <w:r>
              <w:rPr/>
              <w:t xml:space="preserve">Rechazo: III-IV; índice: I-II anterior, III-IV vigente</w:t>
            </w:r>
          </w:p>
        </w:tc>
      </w:tr>
      <w:tr>
        <w:tc>
          <w:tcPr>
            <w:tcW w:type="dxa" w:w="900"/>
          </w:tcPr>
          <w:p>
            <w:pPr>
              <w:keepNext/>
            </w:pPr>
            <w:r>
              <w:rPr>
                <w:b/>
              </w:rPr>
              <w:t xml:space="preserve">2023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7.2%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31.0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560"/>
          </w:tcPr>
          <w:p>
            <w:pPr>
              <w:keepNext/>
            </w:pPr>
            <w:r>
              <w:rPr/>
              <w:t xml:space="preserve"/>
            </w:r>
          </w:p>
        </w:tc>
      </w:tr>
      <w:tr>
        <w:tc>
          <w:tcPr>
            <w:tcW w:type="dxa" w:w="900"/>
          </w:tcPr>
          <w:p>
            <w:pPr>
              <w:keepNext/>
            </w:pPr>
            <w:r>
              <w:rPr>
                <w:b/>
              </w:rPr>
              <w:t xml:space="preserve">2024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7.0%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32.4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560"/>
          </w:tcPr>
          <w:p>
            <w:pPr>
              <w:keepNext/>
            </w:pPr>
            <w:r>
              <w:rPr/>
              <w:t xml:space="preserve"/>
            </w:r>
          </w:p>
        </w:tc>
      </w:tr>
      <w:tr>
        <w:tc>
          <w:tcPr>
            <w:tcW w:type="dxa" w:w="900"/>
          </w:tcPr>
          <w:p>
            <w:pPr>
              <w:keepNext/>
            </w:pPr>
            <w:r>
              <w:rPr>
                <w:b/>
              </w:rPr>
              <w:t xml:space="preserve">2025</w:t>
            </w:r>
          </w:p>
        </w:tc>
        <w:tc>
          <w:tcPr>
            <w:tcW w:type="dxa" w:w="1400"/>
          </w:tcPr>
          <w:p>
            <w:pPr>
              <w:keepNext/>
            </w:pPr>
            <w:r>
              <w:rPr/>
              <w:t xml:space="preserve">6.4%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45.7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n.d.</w:t>
            </w:r>
          </w:p>
        </w:tc>
        <w:tc>
          <w:tcPr>
            <w:tcW w:type="dxa" w:w="2560"/>
          </w:tcPr>
          <w:p>
            <w:pPr>
              <w:keepNext/>
            </w:pPr>
            <w:r>
              <w:rPr/>
              <w:t xml:space="preserve"/>
            </w:r>
          </w:p>
        </w:tc>
      </w:tr>
      <w:tr>
        <w:tc>
          <w:tcPr>
            <w:tcW w:type="dxa" w:w="900"/>
          </w:tcPr>
          <w:p>
            <w:pPr/>
            <w:r>
              <w:rPr>
                <w:b/>
              </w:rPr>
              <w:t xml:space="preserve">2026</w:t>
            </w:r>
          </w:p>
        </w:tc>
        <w:tc>
          <w:tcPr>
            <w:tcW w:type="dxa" w:w="1400"/>
          </w:tcPr>
          <w:p>
            <w:pPr/>
            <w:r>
              <w:rPr/>
              <w:t xml:space="preserve">23.4%</w:t>
            </w:r>
          </w:p>
        </w:tc>
        <w:tc>
          <w:tcPr>
            <w:tcW w:type="dxa" w:w="1500"/>
          </w:tcPr>
          <w:p>
            <w:pPr/>
            <w:r>
              <w:rPr/>
              <w:t xml:space="preserve">42.2</w:t>
            </w:r>
          </w:p>
        </w:tc>
        <w:tc>
          <w:tcPr>
            <w:tcW w:type="dxa" w:w="1500"/>
          </w:tcPr>
          <w:p>
            <w:pPr/>
            <w:r>
              <w:rPr/>
              <w:t xml:space="preserve">35.3</w:t>
            </w:r>
          </w:p>
        </w:tc>
        <w:tc>
          <w:tcPr>
            <w:tcW w:type="dxa" w:w="1500"/>
          </w:tcPr>
          <w:p>
            <w:pPr/>
            <w:r>
              <w:rPr/>
              <w:t xml:space="preserve">53.7</w:t>
            </w:r>
          </w:p>
        </w:tc>
        <w:tc>
          <w:tcPr>
            <w:tcW w:type="dxa" w:w="2560"/>
          </w:tcPr>
          <w:p>
            <w:pPr/>
            <w:r>
              <w:rPr/>
              <w:t xml:space="preserve">I y II; por tamaño solo II-26</w:t>
            </w:r>
          </w:p>
        </w:tc>
      </w:tr>
    </w:tbl>
    <w:p>
      <w:pPr>
        <w:spacing w:before="160"/>
      </w:pPr>
      <w:r>
        <w:rPr>
          <w:sz w:val="18"/>
        </w:rPr>
        <w:t xml:space="preserve">El rechazo por tamaño no está en los datos capturados; queda en la hoja Pendientes del Excel con la ruta de descarga (cuadro 2 de cada comunicado o SIE, cuadro CF910).</w:t>
      </w:r>
    </w:p>
    <w:p>
      <w:pPr>
        <w:pStyle w:val="Prrafodelista"/>
        <w:numPr>
          <w:ilvl w:val="0"/>
          <w:numId w:val="6"/>
        </w:numPr>
      </w:pPr>
      <w:r>
        <w:rPr>
          <w:b/>
        </w:rPr>
        <w:t xml:space="preserve">Rechazos. </w:t>
      </w:r>
      <w:r>
        <w:rPr/>
        <w:t xml:space="preserve">3.8% y 3.6% del total de empresas reportaron solicitud rechazada en I-26 y II-26, contra 0.5-1.6% en 2023-2025. La base es chica: en un trimestre solicitan crédito 15-22% de las empresas.</w:t>
      </w:r>
    </w:p>
    <w:p>
      <w:pPr>
        <w:pStyle w:val="Prrafodelista"/>
        <w:numPr>
          <w:ilvl w:val="0"/>
          <w:numId w:val="6"/>
        </w:numPr>
      </w:pPr>
      <w:r>
        <w:rPr>
          <w:b/>
        </w:rPr>
        <w:t xml:space="preserve">Costo percibido. </w:t>
      </w:r>
      <w:r>
        <w:rPr/>
        <w:t xml:space="preserve">El índice de tasas (menos de 50 = más caro) cayó de 61.1 (I-20) a 19.2 (II-22), ya con las alzas en curso; subió hasta 49.0 (III-25) con los recortes y volvió a bajar a 47.6, 44.9 y 39.4 en II-26. Las comisiones siguen en 34.9.</w:t>
      </w:r>
    </w:p>
    <w:p>
      <w:pPr>
        <w:pStyle w:val="Prrafodelista"/>
        <w:numPr>
          <w:ilvl w:val="0"/>
          <w:numId w:val="6"/>
        </w:numPr>
      </w:pPr>
      <w:r>
        <w:rPr>
          <w:b/>
        </w:rPr>
        <w:t xml:space="preserve">Limitantes. </w:t>
      </w:r>
      <w:r>
        <w:rPr/>
        <w:t xml:space="preserve">Las empresas que no ven limitante en las condiciones de crédito bajaron a 50.9%, cerca del mínimo desde 2021 (49.6% en II-22). La 'limitante mayor' sigue en 18.5%; lo que creció es la 'limitante menor', de 23.5% a 30.7%.</w:t>
      </w:r>
    </w:p>
    <w:p>
      <w:pPr>
        <w:pStyle w:val="Prrafodelista"/>
        <w:numPr>
          <w:ilvl w:val="0"/>
          <w:numId w:val="6"/>
        </w:numPr>
      </w:pPr>
      <w:r>
        <w:rPr>
          <w:b/>
        </w:rPr>
        <w:t xml:space="preserve">Por qué no piden. </w:t>
      </w:r>
      <w:r>
        <w:rPr/>
        <w:t xml:space="preserve">Entre quienes no usaron crédito, 62.6% señala la situación económica general y 55.6% las tasas de interés. La primera es el nivel más alto desde III-22; la segunda, cerca de su máximo (57.3% en IV-25).</w:t>
      </w:r>
    </w:p>
    <w:p>
      <w:pPr>
        <w:pStyle w:val="Ttulo2"/>
        <w:keepNext/>
      </w:pPr>
      <w:r>
        <w:rPr/>
        <w:t xml:space="preserve">Componente de exportaciones</w:t>
      </w:r>
    </w:p>
    <w:p>
      <w:pPr/>
      <w:r>
        <w:rPr/>
        <w:t xml:space="preserve">Plan México busca más contenido nacional en las exportaciones y Bancomext es uno de sus brazos financieros, así que importa saber si las empresas exportadoras tienen mejor acceso al crédito bancario que las que solo venden en el mercado interno.</w:t>
      </w:r>
    </w:p>
    <w:p>
      <w:pPr>
        <w:pStyle w:val="Prrafodelista"/>
        <w:numPr>
          <w:ilvl w:val="0"/>
          <w:numId w:val="10"/>
        </w:numPr>
      </w:pPr>
      <w:r>
        <w:rPr>
          <w:b/>
        </w:rPr>
        <w:t xml:space="preserve">Qué hay. </w:t>
      </w:r>
      <w:r>
        <w:rPr/>
        <w:t xml:space="preserve">Los comunicados de la muestra anterior incluían un corte por actividad exportadora. En las cifras del diseño vigente capturadas para este informe ese corte no aparece.</w:t>
      </w:r>
    </w:p>
    <w:p>
      <w:pPr>
        <w:pStyle w:val="Prrafodelista"/>
        <w:numPr>
          <w:ilvl w:val="0"/>
          <w:numId w:val="10"/>
        </w:numPr>
      </w:pPr>
      <w:r>
        <w:rPr>
          <w:b/>
        </w:rPr>
        <w:t xml:space="preserve">Qué falta. </w:t>
      </w:r>
      <w:r>
        <w:rPr/>
        <w:t xml:space="preserve">Descargar del SIE (</w:t>
      </w:r>
      <w:hyperlink r:id="rId9" w:history="1">
        <w:r>
          <w:rPr>
            <w:rStyle w:val="Hipervnculo"/>
          </w:rPr>
          <w:t xml:space="preserve">cuadro CF910</w:t>
        </w:r>
      </w:hyperlink>
      <w:r>
        <w:rPr/>
        <w:t xml:space="preserve">) las series por actividad exportadora, si el diseño vigente las conserva, y los cuadros de la muestra anterior para 2020-2022. El Excel ya tiene la fila en la hoja Pendientes.</w:t>
      </w:r>
    </w:p>
    <w:p>
      <w:pPr>
        <w:pStyle w:val="Prrafodelista"/>
        <w:numPr>
          <w:ilvl w:val="0"/>
          <w:numId w:val="10"/>
        </w:numPr>
      </w:pPr>
      <w:r>
        <w:rPr>
          <w:b/>
        </w:rPr>
        <w:t xml:space="preserve">Hipótesis H6. </w:t>
      </w:r>
      <w:r>
        <w:rPr/>
        <w:t xml:space="preserve">Las exportadoras tendrían más acceso, porque suelen ser más grandes y tener ingresos en dólares. Queda sin probar hasta tener el dato.</w:t>
      </w:r>
    </w:p>
    <w:p>
      <w:pPr>
        <w:pStyle w:val="Ttulo2"/>
        <w:keepNext/>
      </w:pPr>
      <w:r>
        <w:rPr/>
        <w:t xml:space="preserve">Fuentes de financiamiento y problemas de las empresas</w:t>
      </w:r>
    </w:p>
    <w:p>
      <w:pPr/>
      <w:r>
        <w:rPr/>
        <w:t xml:space="preserve">Las empresas se financian sobre todo con proveedores, y su problema principal son las ventas, no el acceso al crédito.</w:t>
      </w:r>
    </w:p>
    <w:p>
      <w:pPr>
        <w:pStyle w:val="Prrafodelista"/>
        <w:numPr>
          <w:ilvl w:val="0"/>
          <w:numId w:val="7"/>
        </w:numPr>
      </w:pPr>
      <w:r>
        <w:rPr>
          <w:b/>
        </w:rPr>
        <w:t xml:space="preserve">Proveedores. </w:t>
      </w:r>
      <w:r>
        <w:rPr/>
        <w:t xml:space="preserve">Entre III-22 y II-26 los usó entre 56.4% (III-25) y 64.9% (IV-23) de las empresas; en II-26, 60.9%.</w:t>
      </w:r>
    </w:p>
    <w:p>
      <w:pPr>
        <w:pStyle w:val="Prrafodelista"/>
        <w:numPr>
          <w:ilvl w:val="0"/>
          <w:numId w:val="7"/>
        </w:numPr>
      </w:pPr>
      <w:r>
        <w:rPr>
          <w:b/>
        </w:rPr>
        <w:t xml:space="preserve">Banca comercial. </w:t>
      </w:r>
      <w:r>
        <w:rPr/>
        <w:t xml:space="preserve">Bajó de 32.3% (IV-23) a 24.5% (II-26), el valor más bajo desde III-22. Entre las grandes es 38.4%; entre las pequeñas, 22.7%.</w:t>
      </w:r>
    </w:p>
    <w:p>
      <w:pPr>
        <w:pStyle w:val="Prrafodelista"/>
        <w:numPr>
          <w:ilvl w:val="0"/>
          <w:numId w:val="7"/>
        </w:numPr>
      </w:pPr>
      <w:r>
        <w:rPr>
          <w:b/>
        </w:rPr>
        <w:t xml:space="preserve">Grupo corporativo. </w:t>
      </w:r>
      <w:r>
        <w:rPr/>
        <w:t xml:space="preserve">Se mantiene en 8-16% (11.2% en II-26). Banca de desarrollo, banca extranjera y emisión de deuda suman menos de 2%.</w:t>
      </w:r>
    </w:p>
    <w:p>
      <w:pPr>
        <w:pStyle w:val="Prrafodelista"/>
        <w:numPr>
          <w:ilvl w:val="0"/>
          <w:numId w:val="7"/>
        </w:numPr>
      </w:pPr>
      <w:r>
        <w:rPr>
          <w:b/>
        </w:rPr>
        <w:t xml:space="preserve">Ventas como problema. </w:t>
      </w:r>
      <w:r>
        <w:rPr/>
        <w:t xml:space="preserve">Es el problema más apremiante para 44.6% de las empresas. Subió de 29.4% (IV-23) a un pico de 47.8% (II-25) y desde entonces está entre 41% y 45%.</w:t>
      </w:r>
    </w:p>
    <w:p>
      <w:pPr>
        <w:pStyle w:val="Prrafodelista"/>
        <w:numPr>
          <w:ilvl w:val="0"/>
          <w:numId w:val="7"/>
        </w:numPr>
      </w:pPr>
      <w:r>
        <w:rPr>
          <w:b/>
        </w:rPr>
        <w:t xml:space="preserve">Acceso al financiamiento. </w:t>
      </w:r>
      <w:r>
        <w:rPr/>
        <w:t xml:space="preserve">Como problema principal, nunca pasa de 2.6% entre III-22 y II-26 (1.2% en II-26). Para la mayoría la restricción es de demanda: no piden crédito porque no venden.</w:t>
      </w:r>
    </w:p>
    <w:p>
      <w:pPr>
        <w:pStyle w:val="Ttulo2"/>
        <w:keepNext/>
      </w:pPr>
      <w:r>
        <w:rPr/>
        <w:t xml:space="preserve">La tasa de Banxico y la TIIE no explican el crédito nuevo</w:t>
      </w:r>
    </w:p>
    <w:p>
      <w:pPr>
        <w:keepNext/>
      </w:pPr>
      <w:r>
        <w:rPr/>
        <w:t xml:space="preserve">El crédito nuevo fue más alto con la tasa en 11.25% que durante los recortes; la tasa de política sola no explica el movimiento.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2560"/>
        <w:gridCol w:w="1500"/>
        <w:gridCol w:w="1800"/>
        <w:gridCol w:w="1750"/>
        <w:gridCol w:w="1750"/>
      </w:tblGrid>
      <w:tr>
        <w:trPr>
          <w:tblHeader/>
        </w:trPr>
        <w:tc>
          <w:tcPr>
            <w:tcW w:type="dxa" w:w="2560"/>
            <w:shd w:val="clear" w:color="auto" w:fill="F2F2F2"/>
          </w:tcPr>
          <w:p>
            <w:pPr>
              <w:keepNext/>
            </w:pPr>
            <w:r>
              <w:rPr/>
              <w:t xml:space="preserve">Fase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</w:pPr>
            <w:r>
              <w:rPr/>
              <w:t xml:space="preserve">Trimestres con dato</w:t>
            </w:r>
          </w:p>
        </w:tc>
        <w:tc>
          <w:tcPr>
            <w:tcW w:type="dxa" w:w="1800"/>
            <w:shd w:val="clear" w:color="auto" w:fill="F2F2F2"/>
          </w:tcPr>
          <w:p>
            <w:pPr>
              <w:keepNext/>
            </w:pPr>
            <w:r>
              <w:rPr/>
              <w:t xml:space="preserve">Tasa promedio al cierre (%)</w:t>
            </w:r>
          </w:p>
        </w:tc>
        <w:tc>
          <w:tcPr>
            <w:tcW w:type="dxa" w:w="1750"/>
            <w:shd w:val="clear" w:color="auto" w:fill="F2F2F2"/>
          </w:tcPr>
          <w:p>
            <w:pPr>
              <w:keepNext/>
            </w:pPr>
            <w:r>
              <w:rPr/>
              <w:t xml:space="preserve">Nuevo crédito promedio (%)</w:t>
            </w:r>
          </w:p>
        </w:tc>
        <w:tc>
          <w:tcPr>
            <w:tcW w:type="dxa" w:w="1750"/>
            <w:shd w:val="clear" w:color="auto" w:fill="F2F2F2"/>
          </w:tcPr>
          <w:p>
            <w:pPr>
              <w:keepNext/>
            </w:pPr>
            <w:r>
              <w:rPr/>
              <w:t xml:space="preserve">Sin limitante promedio (%)</w:t>
            </w:r>
          </w:p>
        </w:tc>
      </w:tr>
      <w:tr>
        <w:tc>
          <w:tcPr>
            <w:tcW w:type="dxa" w:w="2560"/>
          </w:tcPr>
          <w:p>
            <w:pPr>
              <w:keepNext/>
            </w:pPr>
            <w:r>
              <w:rPr>
                <w:b/>
              </w:rPr>
              <w:t xml:space="preserve">Pre-alzas (IV-20 a I-21)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2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4.13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14.6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49.5</w:t>
            </w:r>
          </w:p>
        </w:tc>
      </w:tr>
      <w:tr>
        <w:tc>
          <w:tcPr>
            <w:tcW w:type="dxa" w:w="2560"/>
          </w:tcPr>
          <w:p>
            <w:pPr>
              <w:keepNext/>
            </w:pPr>
            <w:r>
              <w:rPr>
                <w:b/>
              </w:rPr>
              <w:t xml:space="preserve">Alzas (II-21 a I-23)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8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7.47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13.6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54.4</w:t>
            </w:r>
          </w:p>
        </w:tc>
      </w:tr>
      <w:tr>
        <w:tc>
          <w:tcPr>
            <w:tcW w:type="dxa" w:w="2560"/>
          </w:tcPr>
          <w:p>
            <w:pPr>
              <w:keepNext/>
            </w:pPr>
            <w:r>
              <w:rPr>
                <w:b/>
              </w:rPr>
              <w:t xml:space="preserve">Meseta 11.25% (II-23 a IV-23)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3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11.25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15.2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57.6</w:t>
            </w:r>
          </w:p>
        </w:tc>
      </w:tr>
      <w:tr>
        <w:tc>
          <w:tcPr>
            <w:tcW w:type="dxa" w:w="2560"/>
          </w:tcPr>
          <w:p>
            <w:pPr>
              <w:keepNext/>
            </w:pPr>
            <w:r>
              <w:rPr>
                <w:b/>
              </w:rPr>
              <w:t xml:space="preserve">Recortes (I-24 a II-26)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/>
              <w:t xml:space="preserve">10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/>
              <w:t xml:space="preserve">8.73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13.6</w:t>
            </w:r>
          </w:p>
        </w:tc>
        <w:tc>
          <w:tcPr>
            <w:tcW w:type="dxa" w:w="1750"/>
          </w:tcPr>
          <w:p>
            <w:pPr>
              <w:keepNext/>
            </w:pPr>
            <w:r>
              <w:rPr/>
              <w:t xml:space="preserve">55.1</w:t>
            </w:r>
          </w:p>
        </w:tc>
      </w:tr>
      <w:tr>
        <w:tc>
          <w:tcPr>
            <w:tcW w:type="dxa" w:w="2560"/>
          </w:tcPr>
          <w:p>
            <w:pPr/>
            <w:r>
              <w:rPr>
                <w:b/>
              </w:rPr>
              <w:t xml:space="preserve">Pausa 6.50% (III-26)</w:t>
            </w:r>
          </w:p>
        </w:tc>
        <w:tc>
          <w:tcPr>
            <w:tcW w:type="dxa" w:w="1500"/>
          </w:tcPr>
          <w:p>
            <w:pPr/>
            <w:r>
              <w:rPr/>
              <w:t xml:space="preserve">0</w:t>
            </w:r>
          </w:p>
        </w:tc>
        <w:tc>
          <w:tcPr>
            <w:tcW w:type="dxa" w:w="1800"/>
          </w:tcPr>
          <w:p>
            <w:pPr/>
            <w:r>
              <w:rPr/>
              <w:t xml:space="preserve">6.50</w:t>
            </w:r>
          </w:p>
        </w:tc>
        <w:tc>
          <w:tcPr>
            <w:tcW w:type="dxa" w:w="1750"/>
          </w:tcPr>
          <w:p>
            <w:pPr/>
            <w:r>
              <w:rPr/>
              <w:t xml:space="preserve">n.d.</w:t>
            </w:r>
          </w:p>
        </w:tc>
        <w:tc>
          <w:tcPr>
            <w:tcW w:type="dxa" w:w="1750"/>
          </w:tcPr>
          <w:p>
            <w:pPr/>
            <w:r>
              <w:rPr/>
              <w:t xml:space="preserve">n.d.</w:t>
            </w:r>
          </w:p>
        </w:tc>
      </w:tr>
    </w:tbl>
    <w:p>
      <w:pPr>
        <w:pStyle w:val="Prrafodelista"/>
        <w:numPr>
          <w:ilvl w:val="0"/>
          <w:numId w:val="8"/>
        </w:numPr>
        <w:spacing w:before="160"/>
      </w:pPr>
      <w:r>
        <w:rPr>
          <w:b/>
        </w:rPr>
        <w:t xml:space="preserve">Calendario. </w:t>
      </w:r>
      <w:r>
        <w:rPr/>
        <w:t xml:space="preserve">Banxico subió 15 veces desde 4.00% (junio de 2021) hasta 11.25% (marzo de 2023), la mantuvo un año y recortó desde marzo de 2024. Tras recortes en marzo y mayo de 2026 quedó en 6.50% y la mantuvo el 24 de septiembre (</w:t>
      </w:r>
      <w:hyperlink r:id="rId29" w:history="1">
        <w:r>
          <w:rPr>
            <w:rStyle w:val="Hipervnculo"/>
          </w:rPr>
          <w:t xml:space="preserve">Banxico vía México ¿cómo vamos?</w:t>
        </w:r>
      </w:hyperlink>
      <w:r>
        <w:rPr/>
        <w:t xml:space="preserve">, </w:t>
      </w:r>
      <w:hyperlink r:id="rId8" w:history="1">
        <w:r>
          <w:rPr>
            <w:rStyle w:val="Hipervnculo"/>
          </w:rPr>
          <w:t xml:space="preserve">El CEO</w:t>
        </w:r>
      </w:hyperlink>
      <w:r>
        <w:rPr/>
        <w:t xml:space="preserve">). III-26 es la fase de pausa, sin dato de encuesta todavía.</w:t>
      </w:r>
    </w:p>
    <w:p>
      <w:pPr>
        <w:pStyle w:val="Prrafodelista"/>
        <w:numPr>
          <w:ilvl w:val="0"/>
          <w:numId w:val="8"/>
        </w:numPr>
      </w:pPr>
      <w:r>
        <w:rPr>
          <w:b/>
        </w:rPr>
        <w:t xml:space="preserve">Correlación. </w:t>
      </w:r>
      <w:r>
        <w:rPr/>
        <w:t xml:space="preserve">Entre tasa y crédito nuevo es +0.46 (+0.42 con un trimestre de rezago), en 23 trimestres y con la recuperación pospandemia de por medio. No permite hablar de causalidad.</w:t>
      </w:r>
    </w:p>
    <w:p>
      <w:pPr>
        <w:pStyle w:val="Prrafodelista"/>
        <w:numPr>
          <w:ilvl w:val="0"/>
          <w:numId w:val="8"/>
        </w:numPr>
      </w:pPr>
      <w:r>
        <w:rPr>
          <w:b/>
        </w:rPr>
        <w:t xml:space="preserve">TIIE. </w:t>
      </w:r>
      <w:r>
        <w:rPr/>
        <w:t xml:space="preserve">La TIIE a 28 días es la tasa interbancaria a la que se referencian muchos créditos a empresas y se mueve casi en paralelo con la tasa objetivo. Desde el 1 de enero de 2025 los créditos nuevos en pesos deben usar la TIIE de Fondeo en lugar de la TIIE a 28 días (</w:t>
      </w:r>
      <w:hyperlink r:id="rId30" w:history="1">
        <w:r>
          <w:rPr>
            <w:rStyle w:val="Hipervnculo"/>
          </w:rPr>
          <w:t xml:space="preserve">BDO</w:t>
        </w:r>
      </w:hyperlink>
      <w:r>
        <w:rPr/>
        <w:t xml:space="preserve">). La columna de TIIE ya está en el Excel (hojas Series, Serie completa y Resumen anual) y queda pendiente de capturar del </w:t>
      </w:r>
      <w:hyperlink r:id="rId31" w:history="1">
        <w:r>
          <w:rPr>
            <w:rStyle w:val="Hipervnculo"/>
          </w:rPr>
          <w:t xml:space="preserve">SIE de Banxico</w:t>
        </w:r>
      </w:hyperlink>
      <w:r>
        <w:rPr/>
        <w:t xml:space="preserve"> (serie SF43783); al capturarla, el resumen anual se actualiza solo.</w:t>
      </w:r>
    </w:p>
    <w:p>
      <w:pPr>
        <w:pStyle w:val="Prrafodelista"/>
        <w:numPr>
          <w:ilvl w:val="0"/>
          <w:numId w:val="8"/>
        </w:numPr>
      </w:pPr>
      <w:r>
        <w:rPr>
          <w:b/>
        </w:rPr>
        <w:t xml:space="preserve">Lectura. </w:t>
      </w:r>
      <w:r>
        <w:rPr/>
        <w:t xml:space="preserve">Lo que pesa más son la demanda (ventas, situación económica) y, en 2026, la disposición de los bancos. La transmisión de los recortes al costo percibido se frenó: el índice de tasas volvió a caer en 2026.</w:t>
      </w:r>
    </w:p>
    <w:p>
      <w:pPr>
        <w:pStyle w:val="Ttulo2"/>
        <w:keepNext/>
      </w:pPr>
      <w:r>
        <w:rPr/>
        <w:t xml:space="preserve">Correcciones al análisis previo</w:t>
      </w:r>
    </w:p>
    <w:p>
      <w:pPr>
        <w:keepNext/>
      </w:pPr>
      <w:r>
        <w:rPr/>
        <w:t xml:space="preserve">Esta versión atiende las correcciones del asesor (octubre de 2026). El estado de cada una está en la hoja Verificación del Excel.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3700"/>
        <w:gridCol w:w="3660"/>
        <w:gridCol w:w="2000"/>
      </w:tblGrid>
      <w:tr>
        <w:trPr>
          <w:tblHeader/>
        </w:trPr>
        <w:tc>
          <w:tcPr>
            <w:tcW w:type="dxa" w:w="3700"/>
            <w:shd w:val="clear" w:color="auto" w:fill="F2F2F2"/>
          </w:tcPr>
          <w:p>
            <w:pPr>
              <w:keepNext/>
            </w:pPr>
            <w:r>
              <w:rPr/>
              <w:t xml:space="preserve">Corrección pedida</w:t>
            </w:r>
          </w:p>
        </w:tc>
        <w:tc>
          <w:tcPr>
            <w:tcW w:type="dxa" w:w="3660"/>
            <w:shd w:val="clear" w:color="auto" w:fill="F2F2F2"/>
          </w:tcPr>
          <w:p>
            <w:pPr>
              <w:keepNext/>
            </w:pPr>
            <w:r>
              <w:rPr/>
              <w:t xml:space="preserve">Qué se hizo</w:t>
            </w:r>
          </w:p>
        </w:tc>
        <w:tc>
          <w:tcPr>
            <w:tcW w:type="dxa" w:w="2000"/>
            <w:shd w:val="clear" w:color="auto" w:fill="F2F2F2"/>
          </w:tcPr>
          <w:p>
            <w:pPr>
              <w:keepNext/>
            </w:pPr>
            <w:r>
              <w:rPr/>
              <w:t xml:space="preserve">Estado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Gráfica del cuadro de la página 3 (brecha por tamaño)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Gráficas 3 y 4, Cuadros 1 y 2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Base de datos de las fuentes de las imágenes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Hoja Datos de imágenes del Excel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Hipótesis 2020-2026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Sección de hipótesis y hoja Hipótesis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Hecho; H4 por tamaño y H6 sin dato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Base y gráfico de tendencia; uno para grandes y otro para pymes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Gráficas 1 y 3; hojas Serie completa y Por tamaño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Cuadro de gran empresa y de medianas y pequeñas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Cuadros 1 y 2 (anuales) y hoja Por tamaño (trimestral)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Componente de exportaciones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Sección nueva y fila en Pendientes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Pendiente de dato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Crédito nuevo y brecha por año, 2020 a III-2026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Tablas anuales, 2020 y 2026 por trimestre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Hecho; III-26 sale el 19-nov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Rechazo y costo por pymes, grandes y por año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Tabla anual y Gráfica 5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Parcial: por tamaño solo II-26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Añadir la TIIE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Columna en el Excel y explicación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Pendiente de dato (SIE)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Variables, porcentajes y si los datos son acumulados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Sección de variables; no son acumulados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</w:t>
            </w:r>
          </w:p>
        </w:tc>
      </w:tr>
      <w:tr>
        <w:tc>
          <w:tcPr>
            <w:tcW w:type="dxa" w:w="3700"/>
          </w:tcPr>
          <w:p>
            <w:pPr>
              <w:keepNext/>
            </w:pPr>
            <w:r>
              <w:rPr/>
              <w:t xml:space="preserve">Fuente debajo de cada gráfica</w:t>
            </w:r>
          </w:p>
        </w:tc>
        <w:tc>
          <w:tcPr>
            <w:tcW w:type="dxa" w:w="3660"/>
          </w:tcPr>
          <w:p>
            <w:pPr>
              <w:keepNext/>
            </w:pPr>
            <w:r>
              <w:rPr/>
              <w:t xml:space="preserve">Línea de fuente y hoja del Excel bajo cada gráfica</w:t>
            </w:r>
          </w:p>
        </w:tc>
        <w:tc>
          <w:tcPr>
            <w:tcW w:type="dxa" w:w="2000"/>
          </w:tcPr>
          <w:p>
            <w:pPr>
              <w:keepNext/>
            </w:pPr>
            <w:r>
              <w:rPr/>
              <w:t xml:space="preserve">Hecho</w:t>
            </w:r>
          </w:p>
        </w:tc>
      </w:tr>
      <w:tr>
        <w:tc>
          <w:tcPr>
            <w:tcW w:type="dxa" w:w="3700"/>
          </w:tcPr>
          <w:p>
            <w:pPr/>
            <w:r>
              <w:rPr/>
              <w:t xml:space="preserve">2020: faltaban I, II y III trimestre</w:t>
            </w:r>
          </w:p>
        </w:tc>
        <w:tc>
          <w:tcPr>
            <w:tcW w:type="dxa" w:w="3660"/>
          </w:tcPr>
          <w:p>
            <w:pPr/>
            <w:r>
              <w:rPr/>
              <w:t xml:space="preserve">Agregados desde la muestra anterior, marcados</w:t>
            </w:r>
          </w:p>
        </w:tc>
        <w:tc>
          <w:tcPr>
            <w:tcW w:type="dxa" w:w="2000"/>
          </w:tcPr>
          <w:p>
            <w:pPr/>
            <w:r>
              <w:rPr/>
              <w:t xml:space="preserve">Hecho</w:t>
            </w:r>
          </w:p>
        </w:tc>
      </w:tr>
    </w:tbl>
    <w:p>
      <w:pPr>
        <w:keepNext/>
        <w:spacing w:before="160"/>
      </w:pPr>
      <w:r>
        <w:rPr>
          <w:b/>
        </w:rPr>
        <w:t xml:space="preserve">Correcciones de la revisión anterior. </w:t>
      </w:r>
      <w:r>
        <w:rPr/>
        <w:t xml:space="preserve">Se conservan como estaban.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val="clear" w:color="auto" w:fill="F2F2F2"/>
          </w:tcPr>
          <w:p>
            <w:pPr>
              <w:keepNext/>
            </w:pPr>
            <w:r>
              <w:rPr/>
              <w:t xml:space="preserve">Afirmación previa</w:t>
            </w:r>
          </w:p>
        </w:tc>
        <w:tc>
          <w:tcPr>
            <w:tcW w:type="dxa" w:w="3120"/>
            <w:shd w:val="clear" w:color="auto" w:fill="F2F2F2"/>
          </w:tcPr>
          <w:p>
            <w:pPr>
              <w:keepNext/>
            </w:pPr>
            <w:r>
              <w:rPr/>
              <w:t xml:space="preserve">Dato verificado</w:t>
            </w:r>
          </w:p>
        </w:tc>
        <w:tc>
          <w:tcPr>
            <w:tcW w:type="dxa" w:w="3120"/>
            <w:shd w:val="clear" w:color="auto" w:fill="F2F2F2"/>
          </w:tcPr>
          <w:p>
            <w:pPr>
              <w:keepNext/>
            </w:pPr>
            <w:r>
              <w:rPr/>
              <w:t xml:space="preserve">Qué cambia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Rechazos: ~6% (IV-23), ~9% (I-24), ~20% (IV-22), ~24% (II-26)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Serie III-22 a II-26 completa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El orden estaba revuelto; I-26 (22.5%) y II-26 (24.3%) son los dos más altos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Índice de tasas: solo seis puntos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16 trimestres seguidos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Subió hasta 49.0 (III-25) y volvió a bajar a 39.4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Fase de alzas: II-22 a I-23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II-21 a I-23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Las alzas empezaron en junio de 2021; promedios recalculados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Tasas de fin de trimestre estimadas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Reconstruidas de anuncios de Banxico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I-26 = 6.75%, II-26 = 6.50%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Grandes con crédito en 2021: 52-54%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48.6-54.4%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II-21 fue 48.6%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Proveedores: 58-65%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56.4-64.9%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III-25 bajó a 56.4%</w:t>
            </w:r>
          </w:p>
        </w:tc>
      </w:tr>
      <w:tr>
        <w:tc>
          <w:tcPr>
            <w:tcW w:type="dxa" w:w="3120"/>
          </w:tcPr>
          <w:p>
            <w:pPr>
              <w:keepNext/>
            </w:pPr>
            <w:r>
              <w:rPr/>
              <w:t xml:space="preserve">Ventas: de 29.4% a 44.6%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Pico de 47.8% en II-25</w:t>
            </w:r>
          </w:p>
        </w:tc>
        <w:tc>
          <w:tcPr>
            <w:tcW w:type="dxa" w:w="3120"/>
          </w:tcPr>
          <w:p>
            <w:pPr>
              <w:keepNext/>
            </w:pPr>
            <w:r>
              <w:rPr/>
              <w:t xml:space="preserve">La subida se dio hasta 2025; ahora está estable</w:t>
            </w:r>
          </w:p>
        </w:tc>
      </w:tr>
      <w:tr>
        <w:tc>
          <w:tcPr>
            <w:tcW w:type="dxa" w:w="3120"/>
          </w:tcPr>
          <w:p>
            <w:pPr/>
            <w:r>
              <w:rPr/>
              <w:t xml:space="preserve">Usar solo IV-20 en adelante, pero IV-20 aparece en la tabla 2020</w:t>
            </w:r>
          </w:p>
        </w:tc>
        <w:tc>
          <w:tcPr>
            <w:tcW w:type="dxa" w:w="3120"/>
          </w:tcPr>
          <w:p>
            <w:pPr/>
            <w:r>
              <w:rPr/>
              <w:t xml:space="preserve">IV-20 tiene dos valores</w:t>
            </w:r>
          </w:p>
        </w:tc>
        <w:tc>
          <w:tcPr>
            <w:tcW w:type="dxa" w:w="3120"/>
          </w:tcPr>
          <w:p>
            <w:pPr/>
            <w:r>
              <w:rPr/>
              <w:t xml:space="preserve">16.8% (muestra anterior) y 13.6% (diseño vigente)</w:t>
            </w:r>
          </w:p>
        </w:tc>
      </w:tr>
    </w:tbl>
    <w:p>
      <w:pPr>
        <w:spacing w:before="160"/>
      </w:pPr>
      <w:r>
        <w:rPr/>
        <w:t xml:space="preserve">Se confirman: promedio 13.9% y desviación 2.1; 11.2% como tercer valor más bajo; brecha de 19.1 pp en IV-21; tendencia de -1.0 pp por año desde I-23; correlación +0.46; diferencias entre muestras; 20.3% que espera pedir crédito; tasa en 6.50%. Cambia el promedio anual de 2026: 12.2% (antes se reportó 12.1% por redondeo).</w:t>
      </w:r>
    </w:p>
    <w:p>
      <w:pPr>
        <w:pStyle w:val="Ttulo2"/>
        <w:keepNext/>
      </w:pPr>
      <w:r>
        <w:rPr/>
        <w:t xml:space="preserve">Qué vigilar</w:t>
      </w:r>
    </w:p>
    <w:p>
      <w:pPr/>
      <w:r>
        <w:rPr/>
        <w:t xml:space="preserve">La encuesta de julio-septiembre 2026 (III-26) sale el 19 de noviembre de 2026 a las 9:00; con ella se completa 2026 en el Excel. Tres cifras dirán si 2026 es un cambio de tendencia.</w:t>
      </w:r>
    </w:p>
    <w:p>
      <w:pPr>
        <w:pStyle w:val="Prrafodelista"/>
        <w:numPr>
          <w:ilvl w:val="0"/>
          <w:numId w:val="9"/>
        </w:numPr>
      </w:pPr>
      <w:r>
        <w:rPr>
          <w:b/>
        </w:rPr>
        <w:t xml:space="preserve">Rechazos. </w:t>
      </w:r>
      <w:r>
        <w:rPr/>
        <w:t xml:space="preserve">Un tercer trimestre arriba de 20% confirmaría que la banca está apretando la oferta; uno debajo de 10% lo reduciría a ruido de base pequeña.</w:t>
      </w:r>
    </w:p>
    <w:p>
      <w:pPr>
        <w:pStyle w:val="Prrafodelista"/>
        <w:numPr>
          <w:ilvl w:val="0"/>
          <w:numId w:val="9"/>
        </w:numPr>
      </w:pPr>
      <w:r>
        <w:rPr>
          <w:b/>
        </w:rPr>
        <w:t xml:space="preserve">Crédito nuevo en pequeñas. </w:t>
      </w:r>
      <w:r>
        <w:rPr/>
        <w:t xml:space="preserve">Si las de hasta 100 empleados siguen cerca de 10%, la brecha por tamaño seguirá abriéndose.</w:t>
      </w:r>
    </w:p>
    <w:p>
      <w:pPr>
        <w:pStyle w:val="Prrafodelista"/>
        <w:numPr>
          <w:ilvl w:val="0"/>
          <w:numId w:val="9"/>
        </w:numPr>
      </w:pPr>
      <w:r>
        <w:rPr>
          <w:b/>
        </w:rPr>
        <w:t xml:space="preserve">Índice de tasas. </w:t>
      </w:r>
      <w:r>
        <w:rPr/>
        <w:t xml:space="preserve">Con Banxico en pausa desde mayo, si el índice no regresa arriba de 45 los recortes ya no están llegando al costo que ven las empresas.</w:t>
      </w:r>
    </w:p>
    <w:p>
      <w:pPr/>
      <w:r>
        <w:rPr/>
        <w:t xml:space="preserve">También: 20.3% de las empresas dice que pedirá crédito bancario en julio-septiembre (18.7% antes). Para completar las celdas pendientes (TIIE, crédito nuevo por tamaño en trimestres I y III, rechazo por tamaño, exportadoras) usar el </w:t>
      </w:r>
      <w:hyperlink r:id="rId9" w:history="1">
        <w:r>
          <w:rPr>
            <w:rStyle w:val="Hipervnculo"/>
          </w:rPr>
          <w:t xml:space="preserve">SIE, cuadro CF910</w:t>
        </w:r>
      </w:hyperlink>
      <w:r>
        <w:rPr/>
        <w:t xml:space="preserve">.</w:t>
      </w:r>
    </w:p>
    <w:p>
      <w:pPr>
        <w:pStyle w:val="Ttulo2"/>
        <w:keepNext/>
      </w:pPr>
      <w:r>
        <w:rPr/>
        <w:t xml:space="preserve">Fuentes</w:t>
      </w:r>
    </w:p>
    <w:p>
      <w:pPr/>
      <w:r>
        <w:rPr/>
        <w:t xml:space="preserve">Comunicados de Banxico, </w:t>
      </w:r>
      <w:r>
        <w:rPr>
          <w:i/>
        </w:rPr>
        <w:t xml:space="preserve">Evolución trimestral del financiamiento a las empresas</w:t>
      </w:r>
      <w:r>
        <w:rPr/>
        <w:t xml:space="preserve">:</w:t>
      </w:r>
    </w:p>
    <w:p>
      <w:pPr>
        <w:pStyle w:val="Prrafodelista"/>
        <w:numPr>
          <w:ilvl w:val="0"/>
          <w:numId w:val="10"/>
        </w:numPr>
      </w:pPr>
      <w:hyperlink r:id="rId10" w:history="1">
        <w:r>
          <w:rPr>
            <w:rStyle w:val="Hipervnculo"/>
          </w:rPr>
          <w:t xml:space="preserve">II-2026</w:t>
        </w:r>
      </w:hyperlink>
      <w:r>
        <w:rPr/>
        <w:t xml:space="preserve"> · </w:t>
      </w:r>
      <w:hyperlink r:id="rId11" w:history="1">
        <w:r>
          <w:rPr>
            <w:rStyle w:val="Hipervnculo"/>
          </w:rPr>
          <w:t xml:space="preserve">IV-2025</w:t>
        </w:r>
      </w:hyperlink>
      <w:r>
        <w:rPr/>
        <w:t xml:space="preserve"> · </w:t>
      </w:r>
      <w:hyperlink r:id="rId12" w:history="1">
        <w:r>
          <w:rPr>
            <w:rStyle w:val="Hipervnculo"/>
          </w:rPr>
          <w:t xml:space="preserve">II-2025</w:t>
        </w:r>
      </w:hyperlink>
      <w:r>
        <w:rPr/>
        <w:t xml:space="preserve"> · </w:t>
      </w:r>
      <w:hyperlink r:id="rId13" w:history="1">
        <w:r>
          <w:rPr>
            <w:rStyle w:val="Hipervnculo"/>
          </w:rPr>
          <w:t xml:space="preserve">IV-2024</w:t>
        </w:r>
      </w:hyperlink>
      <w:r>
        <w:rPr/>
        <w:t xml:space="preserve"> · </w:t>
      </w:r>
      <w:hyperlink r:id="rId14" w:history="1">
        <w:r>
          <w:rPr>
            <w:rStyle w:val="Hipervnculo"/>
          </w:rPr>
          <w:t xml:space="preserve">II-2024</w:t>
        </w:r>
      </w:hyperlink>
    </w:p>
    <w:p>
      <w:pPr>
        <w:pStyle w:val="Prrafodelista"/>
        <w:numPr>
          <w:ilvl w:val="0"/>
          <w:numId w:val="10"/>
        </w:numPr>
      </w:pPr>
      <w:hyperlink r:id="rId15" w:history="1">
        <w:r>
          <w:rPr>
            <w:rStyle w:val="Hipervnculo"/>
          </w:rPr>
          <w:t xml:space="preserve">IV-2023</w:t>
        </w:r>
      </w:hyperlink>
      <w:r>
        <w:rPr/>
        <w:t xml:space="preserve"> · </w:t>
      </w:r>
      <w:hyperlink r:id="rId16" w:history="1">
        <w:r>
          <w:rPr>
            <w:rStyle w:val="Hipervnculo"/>
          </w:rPr>
          <w:t xml:space="preserve">II-2023</w:t>
        </w:r>
      </w:hyperlink>
      <w:r>
        <w:rPr/>
        <w:t xml:space="preserve"> · </w:t>
      </w:r>
      <w:hyperlink r:id="rId17" w:history="1">
        <w:r>
          <w:rPr>
            <w:rStyle w:val="Hipervnculo"/>
          </w:rPr>
          <w:t xml:space="preserve">IV-2022</w:t>
        </w:r>
      </w:hyperlink>
      <w:r>
        <w:rPr/>
        <w:t xml:space="preserve"> (primer comunicado con el diseño vigente)</w:t>
      </w:r>
    </w:p>
    <w:p>
      <w:pPr>
        <w:pStyle w:val="Prrafodelista"/>
        <w:numPr>
          <w:ilvl w:val="0"/>
          <w:numId w:val="10"/>
        </w:numPr>
      </w:pPr>
      <w:r>
        <w:rPr/>
        <w:t xml:space="preserve">Muestra anterior: </w:t>
      </w:r>
      <w:hyperlink r:id="rId18" w:history="1">
        <w:r>
          <w:rPr>
            <w:rStyle w:val="Hipervnculo"/>
          </w:rPr>
          <w:t xml:space="preserve">II-2022</w:t>
        </w:r>
      </w:hyperlink>
      <w:r>
        <w:rPr/>
        <w:t xml:space="preserve"> · </w:t>
      </w:r>
      <w:hyperlink r:id="rId19" w:history="1">
        <w:r>
          <w:rPr>
            <w:rStyle w:val="Hipervnculo"/>
          </w:rPr>
          <w:t xml:space="preserve">I-2021</w:t>
        </w:r>
      </w:hyperlink>
      <w:r>
        <w:rPr/>
        <w:t xml:space="preserve"> (series de 2020)</w:t>
      </w:r>
    </w:p>
    <w:p>
      <w:pPr>
        <w:pStyle w:val="Prrafodelista"/>
        <w:numPr>
          <w:ilvl w:val="0"/>
          <w:numId w:val="10"/>
        </w:numPr>
      </w:pPr>
      <w:hyperlink r:id="rId20" w:history="1">
        <w:r>
          <w:rPr>
            <w:rStyle w:val="Hipervnculo"/>
          </w:rPr>
          <w:t xml:space="preserve">Nota metodológica</w:t>
        </w:r>
      </w:hyperlink>
      <w:r>
        <w:rPr/>
        <w:t xml:space="preserve"> · </w:t>
      </w:r>
      <w:hyperlink r:id="rId21" w:history="1">
        <w:r>
          <w:rPr>
            <w:rStyle w:val="Hipervnculo"/>
          </w:rPr>
          <w:t xml:space="preserve">Calendario de publicación</w:t>
        </w:r>
      </w:hyperlink>
      <w:r>
        <w:rPr/>
        <w:t xml:space="preserve"> · </w:t>
      </w:r>
      <w:hyperlink r:id="rId9" w:history="1">
        <w:r>
          <w:rPr>
            <w:rStyle w:val="Hipervnculo"/>
          </w:rPr>
          <w:t xml:space="preserve">SIE, cuadro CF910</w:t>
        </w:r>
      </w:hyperlink>
    </w:p>
    <w:p>
      <w:pPr>
        <w:pStyle w:val="Prrafodelista"/>
        <w:numPr>
          <w:ilvl w:val="0"/>
          <w:numId w:val="10"/>
        </w:numPr>
      </w:pPr>
      <w:r>
        <w:rPr/>
        <w:t xml:space="preserve">Crédito nuevo por tamaño I-26: </w:t>
      </w:r>
      <w:hyperlink r:id="rId32" w:history="1">
        <w:r>
          <w:rPr>
            <w:rStyle w:val="Hipervnculo"/>
          </w:rPr>
          <w:t xml:space="preserve">Yahoo Noticias</w:t>
        </w:r>
      </w:hyperlink>
      <w:r>
        <w:rPr/>
        <w:t xml:space="preserve">; I-24: </w:t>
      </w:r>
      <w:hyperlink r:id="rId33" w:history="1">
        <w:r>
          <w:rPr>
            <w:rStyle w:val="Hipervnculo"/>
          </w:rPr>
          <w:t xml:space="preserve">Dinero en Imagen</w:t>
        </w:r>
      </w:hyperlink>
      <w:r>
        <w:rPr/>
        <w:t xml:space="preserve">; lectura por tamaño II-26: </w:t>
      </w:r>
      <w:hyperlink r:id="rId34" w:history="1">
        <w:r>
          <w:rPr>
            <w:rStyle w:val="Hipervnculo"/>
          </w:rPr>
          <w:t xml:space="preserve">El Universal</w:t>
        </w:r>
      </w:hyperlink>
    </w:p>
    <w:sectPr w:rsidR="00C303A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657F0"/>
    <w:multiLevelType w:val="hybridMultilevel"/>
    <w:tmpl w:val="8A00BD8C"/>
    <w:lvl w:ilvl="0" w:tplc="18AE4690">
      <w:start w:val="1"/>
      <w:numFmt w:val="bullet"/>
      <w:lvlText w:val="•"/>
      <w:lvlJc w:val="left"/>
      <w:pPr>
        <w:ind w:left="720" w:hanging="360"/>
      </w:pPr>
    </w:lvl>
    <w:lvl w:ilvl="1" w:tplc="8FD681B4">
      <w:start w:val="1"/>
      <w:numFmt w:val="bullet"/>
      <w:lvlText w:val="o"/>
      <w:lvlJc w:val="left"/>
      <w:pPr>
        <w:ind w:left="1440" w:hanging="360"/>
      </w:pPr>
    </w:lvl>
    <w:lvl w:ilvl="2" w:tplc="6CDCB068">
      <w:start w:val="1"/>
      <w:numFmt w:val="bullet"/>
      <w:lvlText w:val="▪"/>
      <w:lvlJc w:val="left"/>
      <w:pPr>
        <w:ind w:left="2160" w:hanging="360"/>
      </w:pPr>
    </w:lvl>
    <w:lvl w:ilvl="3" w:tplc="F5963D70">
      <w:start w:val="1"/>
      <w:numFmt w:val="bullet"/>
      <w:lvlText w:val="•"/>
      <w:lvlJc w:val="left"/>
      <w:pPr>
        <w:ind w:left="2880" w:hanging="360"/>
      </w:pPr>
    </w:lvl>
    <w:lvl w:ilvl="4" w:tplc="6C1CCB66">
      <w:start w:val="1"/>
      <w:numFmt w:val="bullet"/>
      <w:lvlText w:val="o"/>
      <w:lvlJc w:val="left"/>
      <w:pPr>
        <w:ind w:left="3600" w:hanging="360"/>
      </w:pPr>
    </w:lvl>
    <w:lvl w:ilvl="5" w:tplc="96A817CA">
      <w:start w:val="1"/>
      <w:numFmt w:val="bullet"/>
      <w:lvlText w:val="▪"/>
      <w:lvlJc w:val="left"/>
      <w:pPr>
        <w:ind w:left="4320" w:hanging="360"/>
      </w:pPr>
    </w:lvl>
    <w:lvl w:ilvl="6" w:tplc="EE224276">
      <w:start w:val="1"/>
      <w:numFmt w:val="bullet"/>
      <w:lvlText w:val="•"/>
      <w:lvlJc w:val="left"/>
      <w:pPr>
        <w:ind w:left="5040" w:hanging="360"/>
      </w:pPr>
    </w:lvl>
    <w:lvl w:ilvl="7" w:tplc="271CCF9C">
      <w:start w:val="1"/>
      <w:numFmt w:val="bullet"/>
      <w:lvlText w:val="o"/>
      <w:lvlJc w:val="left"/>
      <w:pPr>
        <w:ind w:left="5760" w:hanging="360"/>
      </w:pPr>
    </w:lvl>
    <w:lvl w:ilvl="8" w:tplc="0FF4508C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B4815FB"/>
    <w:multiLevelType w:val="hybridMultilevel"/>
    <w:tmpl w:val="E218328A"/>
    <w:lvl w:ilvl="0" w:tplc="4A9CBCEC">
      <w:start w:val="1"/>
      <w:numFmt w:val="decimal"/>
      <w:lvlText w:val="%1."/>
      <w:lvlJc w:val="left"/>
      <w:pPr>
        <w:ind w:left="720" w:hanging="360"/>
      </w:pPr>
    </w:lvl>
    <w:lvl w:ilvl="1" w:tplc="59A8E93E">
      <w:start w:val="1"/>
      <w:numFmt w:val="lowerLetter"/>
      <w:lvlText w:val="%2."/>
      <w:lvlJc w:val="left"/>
      <w:pPr>
        <w:ind w:left="1440" w:hanging="360"/>
      </w:pPr>
    </w:lvl>
    <w:lvl w:ilvl="2" w:tplc="B0B6CC4C">
      <w:start w:val="1"/>
      <w:numFmt w:val="lowerRoman"/>
      <w:lvlText w:val="%3."/>
      <w:lvlJc w:val="left"/>
      <w:pPr>
        <w:ind w:left="2160" w:hanging="360"/>
      </w:pPr>
    </w:lvl>
    <w:lvl w:ilvl="3" w:tplc="06D0B5DE">
      <w:start w:val="1"/>
      <w:numFmt w:val="decimal"/>
      <w:lvlText w:val="%4."/>
      <w:lvlJc w:val="left"/>
      <w:pPr>
        <w:ind w:left="2880" w:hanging="360"/>
      </w:pPr>
    </w:lvl>
    <w:lvl w:ilvl="4" w:tplc="7ABCF3FA">
      <w:start w:val="1"/>
      <w:numFmt w:val="lowerLetter"/>
      <w:lvlText w:val="%5."/>
      <w:lvlJc w:val="left"/>
      <w:pPr>
        <w:ind w:left="3600" w:hanging="360"/>
      </w:pPr>
    </w:lvl>
    <w:lvl w:ilvl="5" w:tplc="6D62DD1A">
      <w:start w:val="1"/>
      <w:numFmt w:val="lowerRoman"/>
      <w:lvlText w:val="%6."/>
      <w:lvlJc w:val="left"/>
      <w:pPr>
        <w:ind w:left="4320" w:hanging="360"/>
      </w:pPr>
    </w:lvl>
    <w:lvl w:ilvl="6" w:tplc="DCA68590">
      <w:start w:val="1"/>
      <w:numFmt w:val="decimal"/>
      <w:lvlText w:val="%7."/>
      <w:lvlJc w:val="left"/>
      <w:pPr>
        <w:ind w:left="5040" w:hanging="360"/>
      </w:pPr>
    </w:lvl>
    <w:lvl w:ilvl="7" w:tplc="46860FC6">
      <w:start w:val="1"/>
      <w:numFmt w:val="lowerLetter"/>
      <w:lvlText w:val="%8."/>
      <w:lvlJc w:val="left"/>
      <w:pPr>
        <w:ind w:left="5760" w:hanging="360"/>
      </w:pPr>
    </w:lvl>
    <w:lvl w:ilvl="8" w:tplc="841CB9EE">
      <w:start w:val="1"/>
      <w:numFmt w:val="lowerRoman"/>
      <w:lvlText w:val="%9."/>
      <w:lvlJc w:val="left"/>
      <w:pPr>
        <w:ind w:left="6480" w:hanging="360"/>
      </w:pPr>
    </w:lvl>
  </w:abstractNum>
  <w:num w:numId="1" w16cid:durableId="1338388770">
    <w:abstractNumId w:val="0"/>
  </w:num>
  <w:num w:numId="2" w16cid:durableId="2107188207">
    <w:abstractNumId w:val="0"/>
  </w:num>
  <w:num w:numId="3" w16cid:durableId="1813063839">
    <w:abstractNumId w:val="0"/>
  </w:num>
  <w:num w:numId="4" w16cid:durableId="1479834318">
    <w:abstractNumId w:val="0"/>
  </w:num>
  <w:num w:numId="5" w16cid:durableId="1418820832">
    <w:abstractNumId w:val="0"/>
  </w:num>
  <w:num w:numId="6" w16cid:durableId="978145350">
    <w:abstractNumId w:val="0"/>
  </w:num>
  <w:num w:numId="7" w16cid:durableId="1498883573">
    <w:abstractNumId w:val="0"/>
  </w:num>
  <w:num w:numId="8" w16cid:durableId="1672179209">
    <w:abstractNumId w:val="0"/>
  </w:num>
  <w:num w:numId="9" w16cid:durableId="1045716177">
    <w:abstractNumId w:val="1"/>
    <w:lvlOverride w:ilvl="0">
      <w:startOverride w:val="1"/>
    </w:lvlOverride>
  </w:num>
  <w:num w:numId="10" w16cid:durableId="1687751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03AE"/>
    <w:rsid w:val="003830BC"/>
    <w:rsid w:val="00BF0032"/>
    <w:rsid w:val="00C3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6249"/>
  <w15:docId w15:val="{51497E25-9C71-4E11-BC91-D47F909E8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lceo.com/economia/banxico-deja-la-tasa-de-interes-en-6-50-la-politica-monetaria-no-tendria-que-reaccionar-a-los-ajustes-en-estados-unidos/" TargetMode="External"/><Relationship Id="rId13" Type="http://schemas.openxmlformats.org/officeDocument/2006/relationships/hyperlink" Target="https://www.banxico.org.mx/publicaciones-y-prensa/evolucion-trimestral-del-financiamiento-a-las-empr/%7b41E9A188-3BBF-92FE-3901-BFCF227A03C1%7d.pdf" TargetMode="External"/><Relationship Id="rId18" Type="http://schemas.openxmlformats.org/officeDocument/2006/relationships/hyperlink" Target="https://www.banxico.org.mx/publicaciones-y-prensa/evolucion-trimestral-del-financiamiento-a-las-empr/%7bFB5B2684-8343-D0B7-062D-8CBD1E9275CA%7d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banxico.org.mx/publicaciones-y-prensa/evolucion-trimestral-del-financiamiento-a-las-empr/evolucion-del-financiamiento-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nxico.org.mx/publicaciones-y-prensa/evolucion-trimestral-del-financiamiento-a-las-empr/%7bA359AF39-1AA0-580C-3CEF-9373F9D485D8%7d.pdf" TargetMode="External"/><Relationship Id="rId17" Type="http://schemas.openxmlformats.org/officeDocument/2006/relationships/hyperlink" Target="https://www.banxico.org.mx/publicaciones-y-prensa/evolucion-trimestral-del-financiamiento-a-las-empr/%7bD5CA1289-F2D7-09C2-7B2D-423C8E37F21D%7d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anxico.org.mx/publicaciones-y-prensa/evolucion-trimestral-del-financiamiento-a-las-empr/%7b0CE3D5CB-D226-BD23-14DD-FF6866A972C4%7d.pdf" TargetMode="External"/><Relationship Id="rId20" Type="http://schemas.openxmlformats.org/officeDocument/2006/relationships/hyperlink" Target="https://www.banxico.org.mx/apps/sie/%7b9F0C92AB-EEAE-142D-4CC8-EC8DC2F2A7AD%7d.pdf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banxico.org.mx/publicaciones-y-prensa/evolucion-trimestral-del-financiamiento-a-las-empr/%7b6353FB17-0AEC-FEC4-C353-23DA19D12758%7d.pdf" TargetMode="External"/><Relationship Id="rId5" Type="http://schemas.openxmlformats.org/officeDocument/2006/relationships/hyperlink" Target="https://www.banxico.org.mx/apps/sie/%7b9F0C92AB-EEAE-142D-4CC8-EC8DC2F2A7AD%7d.pdf" TargetMode="External"/><Relationship Id="rId15" Type="http://schemas.openxmlformats.org/officeDocument/2006/relationships/hyperlink" Target="https://www.banxico.org.mx/publicaciones-y-prensa/evolucion-trimestral-del-financiamiento-a-las-empr/%7bE2598EEE-1219-84C2-FA87-EC08CD410AF0%7d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banxico.org.mx/publicaciones-y-prensa/evolucion-trimestral-del-financiamiento-a-las-empr/%7bE337ADB1-E981-1E18-A430-CEF8FF7A5164%7d.pdf" TargetMode="External"/><Relationship Id="rId19" Type="http://schemas.openxmlformats.org/officeDocument/2006/relationships/hyperlink" Target="https://www.banxico.org.mx/publicaciones-y-prensa/evolucion-trimestral-del-financiamiento-a-las-empr/%7b2F0797C9-2616-D11A-47F5-39FE48B68D31%7d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anxico.org.mx/SieInternet/consultarDirectorioInternetAction.do?sector=19&amp;accion=consultarCuadro&amp;idCuadro=CF910&amp;locale=es" TargetMode="External"/><Relationship Id="rId14" Type="http://schemas.openxmlformats.org/officeDocument/2006/relationships/hyperlink" Target="https://www.banxico.org.mx/publicaciones-y-prensa/evolucion-trimestral-del-financiamiento-a-las-empr/%7bC03F13AB-9577-CCE0-8FE6-66CD253255B7%7d.pdf" TargetMode="External"/><Relationship Id="rId22" Type="http://schemas.openxmlformats.org/officeDocument/2006/relationships/fontTable" Target="fontTable.xml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image" Target="media/image5.png"/><Relationship Id="rId27" Type="http://schemas.openxmlformats.org/officeDocument/2006/relationships/image" Target="media/image6.png"/><Relationship Id="rId28" Type="http://schemas.openxmlformats.org/officeDocument/2006/relationships/image" Target="media/image7.png"/><Relationship Id="rId29" Type="http://schemas.openxmlformats.org/officeDocument/2006/relationships/hyperlink" Target="https://mexicocomovamos.mx/wp-content/uploads/2026/08/InfografiaMCV_PolMon_Ago2026.pdf" TargetMode="External"/><Relationship Id="rId30" Type="http://schemas.openxmlformats.org/officeDocument/2006/relationships/hyperlink" Target="https://www.bdomexico.com/es-mx/publicaciones/boletines-de-precios-de-transferencia/2025/tiie-de-fondeo" TargetMode="External"/><Relationship Id="rId31" Type="http://schemas.openxmlformats.org/officeDocument/2006/relationships/hyperlink" Target="https://www.banxico.org.mx/SieInternet/consultarDirectorioInternetAction.do?accion=consultarCuadro&amp;idCuadro=CF111" TargetMode="External"/><Relationship Id="rId32" Type="http://schemas.openxmlformats.org/officeDocument/2006/relationships/hyperlink" Target="https://es-us.noticias.yahoo.com/trimestre-subi%C3%B3-porcentaje-empresas-utilizaron-045907948.html" TargetMode="External"/><Relationship Id="rId33" Type="http://schemas.openxmlformats.org/officeDocument/2006/relationships/hyperlink" Target="https://www.dineroenimagen.com/empresas/encuesta-de-banxico-revela-mas-empresas-evitan-nuevos-creditos-bancarios/186720" TargetMode="External"/><Relationship Id="rId34" Type="http://schemas.openxmlformats.org/officeDocument/2006/relationships/hyperlink" Target="https://www.eluniversal.com.mx/cartera/banca-da-menos-creditos-a-las-pymes-pese-al-compromiso-con-gobierno-solo-227-de-empresas-recibio-financiamient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1952</Words>
  <Characters>10742</Characters>
  <Application>Microsoft Office Word</Application>
  <DocSecurity>0</DocSecurity>
  <Lines>89</Lines>
  <Paragraphs>25</Paragraphs>
  <ScaleCrop>false</ScaleCrop>
  <Company/>
  <LinksUpToDate>false</LinksUpToDate>
  <CharactersWithSpaces>12669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Financiamiento a las empresas en México 2020-2026 lectura de la encuesta de Banx</dc:title>
  <dc:description>Claude Docs node/c527a122-bb86@14 docx-w6</dc:description>
  <cp:lastModifiedBy>CASTAÑEDA Emiliano</cp:lastModifiedBy>
  <cp:revision>15</cp:revision>
  <dcterms:created xsi:type="dcterms:W3CDTF">2026-10-09T17:04:00Z</dcterms:created>
  <dcterms:modified xsi:type="dcterms:W3CDTF">2026-10-09T17:04:00Z</dcterms:modified>
</cp:coreProperties>
</file>