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rPr/>
        <w:t xml:space="preserve">Financiamiento a las empresas en México 2020-2026: lectura de la encuesta de Banxico</w:t>
      </w:r>
    </w:p>
    <w:p>
      <w:pPr>
        <w:pStyle w:val="Ttulo2"/>
        <w:keepNext/>
      </w:pPr>
      <w:r>
        <w:rPr/>
        <w:t xml:space="preserve">Resumen ejecutivo</w:t>
      </w:r>
    </w:p>
    <w:p>
      <w:pPr/>
      <w:r>
        <w:rPr/>
        <w:t xml:space="preserve">El crédito bancario nuevo a empresas lleva tres años perdiendo terreno y en 2026 aparecen señales de oferta más dura para las pymes, a pesar de que Banxico bajó su tasa de 11.25% a 6.50% y la TIIE a 28 días bajó casi lo mismo. Esta versión cubre los 27 trimestres de I-2020 a III-2026 con las series del SIE de Banxico. La encuesta de julio-septiembre de 2026 (III-26) se publica el 19 de noviembre de 2026; de ese trimestre solo se conocen la tasa objetivo y la TIIE.</w:t>
      </w:r>
    </w:p>
    <w:p>
      <w:pPr>
        <w:pStyle w:val="Prrafodelista"/>
        <w:numPr>
          <w:ilvl w:val="0"/>
          <w:numId w:val="2"/>
        </w:numPr>
      </w:pPr>
      <w:r>
        <w:rPr>
          <w:b/>
        </w:rPr>
        <w:t xml:space="preserve">Flujo a la baja, saldo estable. </w:t>
      </w:r>
      <w:r>
        <w:rPr/>
        <w:t xml:space="preserve">En II-26, 11.2% de las empresas usó crédito bancario nuevo, el cuarto nivel más bajo desde I-20. El promedio anual pasó de 15.4% (2023) a 12.2% (2026, I y II trimestre), una tendencia de -1.0 pp por año desde I-23. El porcentaje con crédito vigente sigue en 37%.</w:t>
      </w:r>
    </w:p>
    <w:p>
      <w:pPr>
        <w:pStyle w:val="Prrafodelista"/>
        <w:numPr>
          <w:ilvl w:val="0"/>
          <w:numId w:val="2"/>
        </w:numPr>
      </w:pPr>
      <w:r>
        <w:rPr>
          <w:b/>
        </w:rPr>
        <w:t xml:space="preserve">2020 completo. </w:t>
      </w:r>
      <w:r>
        <w:rPr/>
        <w:t xml:space="preserve">Con el diseño vigente del SIE, el crédito nuevo bajó de 14.8% (I-20) a 10.6% (II-20) con la pandemia y se recuperó a 13.6% en IV-20; promedio de 2020: 13.0%. Los comunicados de 2020 usaban otra muestra y daban niveles más altos (20.4% en promedio).</w:t>
      </w:r>
    </w:p>
    <w:p>
      <w:pPr>
        <w:pStyle w:val="Prrafodelista"/>
        <w:numPr>
          <w:ilvl w:val="0"/>
          <w:numId w:val="2"/>
        </w:numPr>
      </w:pPr>
      <w:r>
        <w:rPr>
          <w:b/>
        </w:rPr>
        <w:t xml:space="preserve">La caída es de las pequeñas. </w:t>
      </w:r>
      <w:r>
        <w:rPr/>
        <w:t xml:space="preserve">Las de más de 100 empleados se mantienen en torno a 21% de crédito nuevo; las de 11 a 100 bajaron a 9.9% en II-26. La brecha de crédito vigente sube cada año desde 2023: 6.8 pp (2023), 9.2 (2024), 10.2 (2025) y 12.4 (2026).</w:t>
      </w:r>
    </w:p>
    <w:p>
      <w:pPr>
        <w:pStyle w:val="Prrafodelista"/>
        <w:numPr>
          <w:ilvl w:val="0"/>
          <w:numId w:val="2"/>
        </w:numPr>
      </w:pPr>
      <w:r>
        <w:rPr>
          <w:b/>
        </w:rPr>
        <w:t xml:space="preserve">2026 trae más rechazos, y son de las pymes. </w:t>
      </w:r>
      <w:r>
        <w:rPr/>
        <w:t xml:space="preserve">La tasa de rechazo fue 22.5% en I-26 y 24.3% en II-26, niveles que no se veían desde IV-21 (25.6%). En II-26 a las pymes se les rechazó 28.3% de las solicitudes y a las grandes 3.1%.</w:t>
      </w:r>
    </w:p>
    <w:p>
      <w:pPr>
        <w:pStyle w:val="Prrafodelista"/>
        <w:numPr>
          <w:ilvl w:val="0"/>
          <w:numId w:val="2"/>
        </w:numPr>
      </w:pPr>
      <w:r>
        <w:rPr>
          <w:b/>
        </w:rPr>
        <w:t xml:space="preserve">El costo percibido volvió a empeorar. </w:t>
      </w:r>
      <w:r>
        <w:rPr/>
        <w:t xml:space="preserve">El índice de tasas llegó a 49.0 en III-25 y bajó a 39.4 en II-26. Las pequeñas lo ven en 35.3; las grandes en 53.7.</w:t>
      </w:r>
    </w:p>
    <w:p>
      <w:pPr>
        <w:pStyle w:val="Prrafodelista"/>
        <w:numPr>
          <w:ilvl w:val="0"/>
          <w:numId w:val="2"/>
        </w:numPr>
      </w:pPr>
      <w:r>
        <w:rPr>
          <w:b/>
        </w:rPr>
        <w:t xml:space="preserve">La banca pierde peso como fuente. </w:t>
      </w:r>
      <w:r>
        <w:rPr/>
        <w:t xml:space="preserve">La banca comercial cayó a 24.5% de las empresas, su nivel más bajo desde IV-20; los proveedores siguen en torno a 61%.</w:t>
      </w:r>
    </w:p>
    <w:p>
      <w:pPr>
        <w:pStyle w:val="Prrafodelista"/>
        <w:numPr>
          <w:ilvl w:val="0"/>
          <w:numId w:val="2"/>
        </w:numPr>
      </w:pPr>
      <w:r>
        <w:rPr>
          <w:b/>
        </w:rPr>
        <w:t xml:space="preserve">Ni la tasa ni la TIIE explican el movimiento. </w:t>
      </w:r>
      <w:r>
        <w:rPr/>
        <w:t xml:space="preserve">La TIIE a 28 días promedió 11.40% en 2023 y 6.97% en 2026, pero el crédito nuevo fue más alto en la meseta de 11.25% (15.2%) que en los recortes (13.6%). La correlación con la tasa es +0.48, sin causalidad.</w:t>
      </w:r>
    </w:p>
    <w:p>
      <w:pPr/>
      <w:r>
        <w:rPr/>
        <w:t xml:space="preserve">Las series, los cálculos, las gráficas y la base de datos de cada imagen están en el Excel adjunto (</w:t>
      </w:r>
      <w:r>
        <w:rPr>
          <w:i/>
        </w:rPr>
        <w:t xml:space="preserve">Banxico_Financiamiento_Empresas_2020-2026.xlsx</w:t>
      </w:r>
      <w:r>
        <w:rPr/>
        <w:t xml:space="preserve">). Debajo de cada gráfica se indica la fuente y la hoja del Excel con los datos.</w:t>
      </w:r>
    </w:p>
    <w:p>
      <w:pPr>
        <w:pStyle w:val="Ttulo2"/>
        <w:keepNext/>
      </w:pPr>
      <w:r>
        <w:rPr/>
        <w:t xml:space="preserve">Qué mide la encuesta y de dónde salen los datos</w:t>
      </w:r>
    </w:p>
    <w:p>
      <w:pPr/>
      <w:r>
        <w:rPr/>
        <w:t xml:space="preserve">Todo el análisis usa el diseño muestral vigente de la encuesta, que el SIE de Banxico publica desde 2016. Así los cuatro trimestres de 2020 quedan en el mismo diseño que 2021-2026.</w:t>
      </w:r>
    </w:p>
    <w:p>
      <w:pPr>
        <w:pStyle w:val="Prrafodelista"/>
        <w:numPr>
          <w:ilvl w:val="0"/>
          <w:numId w:val="3"/>
        </w:numPr>
      </w:pPr>
      <w:r>
        <w:rPr>
          <w:b/>
        </w:rPr>
        <w:t xml:space="preserve">Qué es. </w:t>
      </w:r>
      <w:r>
        <w:rPr/>
        <w:t xml:space="preserve">La Encuesta de Evaluación Coyuntural del Mercado Crediticio es cualitativa y trimestral. Cubre establecimientos de más de 10 empleados en manufacturas, comercio, servicios y construcción, con unas 630-665 respuestas por trimestre (</w:t>
      </w:r>
      <w:hyperlink r:id="rId20" w:history="1">
        <w:r>
          <w:rPr>
            <w:rStyle w:val="Hipervnculo"/>
          </w:rPr>
          <w:t xml:space="preserve">nota metodológica</w:t>
        </w:r>
      </w:hyperlink>
      <w:r>
        <w:rPr/>
        <w:t xml:space="preserve">).</w:t>
      </w:r>
    </w:p>
    <w:p>
      <w:pPr>
        <w:pStyle w:val="Prrafodelista"/>
        <w:numPr>
          <w:ilvl w:val="0"/>
          <w:numId w:val="3"/>
        </w:numPr>
      </w:pPr>
      <w:r>
        <w:rPr>
          <w:b/>
        </w:rPr>
        <w:t xml:space="preserve">El cambio de diseño. </w:t>
      </w:r>
      <w:r>
        <w:rPr/>
        <w:t xml:space="preserve">Desde el comunicado de IV-22 (16-feb-2023) Banxico usa un diseño basado en los Censos Económicos 2019, con cuatro regiones. Los comunicados de 2020 a 2022 usaban la muestra anterior (al menos 450 empresas).</w:t>
      </w:r>
    </w:p>
    <w:p>
      <w:pPr>
        <w:pStyle w:val="Prrafodelista"/>
        <w:numPr>
          <w:ilvl w:val="0"/>
          <w:numId w:val="3"/>
        </w:numPr>
      </w:pPr>
      <w:r>
        <w:rPr>
          <w:b/>
        </w:rPr>
        <w:t xml:space="preserve">Por qué importa. </w:t>
      </w:r>
      <w:r>
        <w:rPr/>
        <w:t xml:space="preserve">Para los mismos trimestres, la muestra anterior da en promedio 6.8 pp más de crédito nuevo (rango 3.2 a 11.0) y 7.7 pp más de crédito vigente (4.1 a 10.9). Por eso las cifras de 2020 de los comunicados no se mezclan con las del SIE.</w:t>
      </w:r>
    </w:p>
    <w:p>
      <w:pPr>
        <w:pStyle w:val="Prrafodelista"/>
        <w:numPr>
          <w:ilvl w:val="0"/>
          <w:numId w:val="3"/>
        </w:numPr>
      </w:pPr>
      <w:r>
        <w:rPr>
          <w:b/>
        </w:rPr>
        <w:t xml:space="preserve">Cómo se obtuvieron los datos del SIE. </w:t>
      </w:r>
      <w:r>
        <w:rPr/>
        <w:t xml:space="preserve">El cuadro de la encuesta se descargó del SIE como variación anual. Cada nivel se calcula con un dato publicado del mismo trimestre de otro año; se comprobó contra 643 cifras publicadas y la diferencia máxima fue 0.004. Los niveles por tamaño del II-26 vienen de los cuadros del comunicado.</w:t>
      </w:r>
    </w:p>
    <w:p>
      <w:pPr>
        <w:pStyle w:val="Prrafodelista"/>
        <w:numPr>
          <w:ilvl w:val="0"/>
          <w:numId w:val="3"/>
        </w:numPr>
      </w:pPr>
      <w:r>
        <w:rPr>
          <w:b/>
        </w:rPr>
        <w:t xml:space="preserve">Límite de los índices. </w:t>
      </w:r>
      <w:r>
        <w:rPr/>
        <w:t xml:space="preserve">Los índices de difusión de costo y acceso se calculan solo entre empresas que usaron crédito nuevo (11-17% de la muestra), así que se mueven mucho de un trimestre a otro.</w:t>
      </w:r>
    </w:p>
    <w:p>
      <w:pPr>
        <w:pStyle w:val="Ttulo2"/>
        <w:keepNext/>
      </w:pPr>
      <w:r>
        <w:rPr/>
        <w:t xml:space="preserve">Variables: qué son y en qué unidad están</w:t>
      </w:r>
    </w:p>
    <w:p>
      <w:pPr>
        <w:keepNext/>
      </w:pPr>
      <w:r>
        <w:rPr/>
        <w:t xml:space="preserve">Casi todas las variables son porcentajes de empresas que respondieron la encuesta en el trimestre; no son montos de crédito. La lista completa está en la hoja Variables del Excel.</w:t>
      </w:r>
    </w:p>
    <w:tbl>
      <w:tblPr>
        <w:tblStyle w:val="Tablaconcuadrcula"/>
        <w:tblW w:w="9360" w:type="dxa"/>
        <w:tblLayout w:type="fixed"/>
        <w:tblLook w:val="0420" w:firstRow="1" w:lastRow="0" w:firstColumn="0" w:lastColumn="0" w:noHBand="0" w:noVBand="1"/>
      </w:tblPr>
      <w:tblGrid>
        <w:gridCol w:w="2600"/>
        <w:gridCol w:w="4760"/>
        <w:gridCol w:w="2000"/>
      </w:tblGrid>
      <w:tr>
        <w:trPr>
          <w:tblHeader/>
        </w:trPr>
        <w:tc>
          <w:tcPr>
            <w:tcW w:type="dxa" w:w="2600"/>
            <w:shd w:val="clear" w:color="auto" w:fill="F2F2F2"/>
          </w:tcPr>
          <w:p>
            <w:pPr>
              <w:keepNext/>
            </w:pPr>
            <w:r>
              <w:rPr/>
              <w:t xml:space="preserve">Variable</w:t>
            </w:r>
          </w:p>
        </w:tc>
        <w:tc>
          <w:tcPr>
            <w:tcW w:type="dxa" w:w="4760"/>
            <w:shd w:val="clear" w:color="auto" w:fill="F2F2F2"/>
          </w:tcPr>
          <w:p>
            <w:pPr>
              <w:keepNext/>
            </w:pPr>
            <w:r>
              <w:rPr/>
              <w:t xml:space="preserve">Qué mide</w:t>
            </w:r>
          </w:p>
        </w:tc>
        <w:tc>
          <w:tcPr>
            <w:tcW w:type="dxa" w:w="2000"/>
            <w:shd w:val="clear" w:color="auto" w:fill="F2F2F2"/>
          </w:tcPr>
          <w:p>
            <w:pPr>
              <w:keepNext/>
            </w:pPr>
            <w:r>
              <w:rPr/>
              <w:t xml:space="preserve">Unidad</w:t>
            </w:r>
          </w:p>
        </w:tc>
      </w:tr>
      <w:tr>
        <w:tc>
          <w:tcPr>
            <w:tcW w:type="dxa" w:w="2600"/>
          </w:tcPr>
          <w:p>
            <w:pPr>
              <w:keepNext/>
            </w:pPr>
            <w:r>
              <w:rPr>
                <w:b/>
              </w:rPr>
              <w:t xml:space="preserve">Usaron nuevo crédito bancario</w:t>
            </w:r>
          </w:p>
        </w:tc>
        <w:tc>
          <w:tcPr>
            <w:tcW w:type="dxa" w:w="4760"/>
          </w:tcPr>
          <w:p>
            <w:pPr>
              <w:keepNext/>
            </w:pPr>
            <w:r>
              <w:rPr/>
              <w:t xml:space="preserve">Empresas que obtuvieron y usaron crédito bancario nuevo en el trimestre (flujo)</w:t>
            </w:r>
          </w:p>
        </w:tc>
        <w:tc>
          <w:tcPr>
            <w:tcW w:type="dxa" w:w="2000"/>
          </w:tcPr>
          <w:p>
            <w:pPr>
              <w:keepNext/>
            </w:pPr>
            <w:r>
              <w:rPr/>
              <w:t xml:space="preserve">% de empresas</w:t>
            </w:r>
          </w:p>
        </w:tc>
      </w:tr>
      <w:tr>
        <w:tc>
          <w:tcPr>
            <w:tcW w:type="dxa" w:w="2600"/>
          </w:tcPr>
          <w:p>
            <w:pPr>
              <w:keepNext/>
            </w:pPr>
            <w:r>
              <w:rPr>
                <w:b/>
              </w:rPr>
              <w:t xml:space="preserve">Con crédito al inicio del trimestre</w:t>
            </w:r>
          </w:p>
        </w:tc>
        <w:tc>
          <w:tcPr>
            <w:tcW w:type="dxa" w:w="4760"/>
          </w:tcPr>
          <w:p>
            <w:pPr>
              <w:keepNext/>
            </w:pPr>
            <w:r>
              <w:rPr/>
              <w:t xml:space="preserve">Empresas que ya tenían crédito bancario vigente (saldo; es una foto, no una suma)</w:t>
            </w:r>
          </w:p>
        </w:tc>
        <w:tc>
          <w:tcPr>
            <w:tcW w:type="dxa" w:w="2000"/>
          </w:tcPr>
          <w:p>
            <w:pPr>
              <w:keepNext/>
            </w:pPr>
            <w:r>
              <w:rPr/>
              <w:t xml:space="preserve">% de empresas</w:t>
            </w:r>
          </w:p>
        </w:tc>
      </w:tr>
      <w:tr>
        <w:tc>
          <w:tcPr>
            <w:tcW w:type="dxa" w:w="2600"/>
          </w:tcPr>
          <w:p>
            <w:pPr>
              <w:keepNext/>
            </w:pPr>
            <w:r>
              <w:rPr>
                <w:b/>
              </w:rPr>
              <w:t xml:space="preserve">Hasta 100 / más de 100 empleados</w:t>
            </w:r>
          </w:p>
        </w:tc>
        <w:tc>
          <w:tcPr>
            <w:tcW w:type="dxa" w:w="4760"/>
          </w:tcPr>
          <w:p>
            <w:pPr>
              <w:keepNext/>
            </w:pPr>
            <w:r>
              <w:rPr/>
              <w:t xml:space="preserve">Corte por tamaño de Banxico: 11 a 100 (pequeñas y parte de las medianas) y más de 100 (resto de medianas y grandes)</w:t>
            </w:r>
          </w:p>
        </w:tc>
        <w:tc>
          <w:tcPr>
            <w:tcW w:type="dxa" w:w="2000"/>
          </w:tcPr>
          <w:p>
            <w:pPr>
              <w:keepNext/>
            </w:pPr>
            <w:r>
              <w:rPr/>
              <w:t xml:space="preserve">% de empresas de ese tamaño</w:t>
            </w:r>
          </w:p>
        </w:tc>
      </w:tr>
      <w:tr>
        <w:tc>
          <w:tcPr>
            <w:tcW w:type="dxa" w:w="2600"/>
          </w:tcPr>
          <w:p>
            <w:pPr>
              <w:keepNext/>
            </w:pPr>
            <w:r>
              <w:rPr>
                <w:b/>
              </w:rPr>
              <w:t xml:space="preserve">Brecha por tamaño</w:t>
            </w:r>
          </w:p>
        </w:tc>
        <w:tc>
          <w:tcPr>
            <w:tcW w:type="dxa" w:w="4760"/>
          </w:tcPr>
          <w:p>
            <w:pPr>
              <w:keepNext/>
            </w:pPr>
            <w:r>
              <w:rPr/>
              <w:t xml:space="preserve">Más de 100 menos hasta 100 empleados</w:t>
            </w:r>
          </w:p>
        </w:tc>
        <w:tc>
          <w:tcPr>
            <w:tcW w:type="dxa" w:w="2000"/>
          </w:tcPr>
          <w:p>
            <w:pPr>
              <w:keepNext/>
            </w:pPr>
            <w:r>
              <w:rPr/>
              <w:t xml:space="preserve">Puntos porcentuales (pp)</w:t>
            </w:r>
          </w:p>
        </w:tc>
      </w:tr>
      <w:tr>
        <w:tc>
          <w:tcPr>
            <w:tcW w:type="dxa" w:w="2600"/>
          </w:tcPr>
          <w:p>
            <w:pPr>
              <w:keepNext/>
            </w:pPr>
            <w:r>
              <w:rPr>
                <w:b/>
              </w:rPr>
              <w:t xml:space="preserve">Tasa de rechazo</w:t>
            </w:r>
          </w:p>
        </w:tc>
        <w:tc>
          <w:tcPr>
            <w:tcW w:type="dxa" w:w="4760"/>
          </w:tcPr>
          <w:p>
            <w:pPr>
              <w:keepNext/>
            </w:pPr>
            <w:r>
              <w:rPr/>
              <w:t xml:space="preserve">Rechazadas / (rechazadas + empresas que usaron crédito nuevo); cálculo propio</w:t>
            </w:r>
          </w:p>
        </w:tc>
        <w:tc>
          <w:tcPr>
            <w:tcW w:type="dxa" w:w="2000"/>
          </w:tcPr>
          <w:p>
            <w:pPr>
              <w:keepNext/>
            </w:pPr>
            <w:r>
              <w:rPr/>
              <w:t xml:space="preserve">% de solicitudes resueltas</w:t>
            </w:r>
          </w:p>
        </w:tc>
      </w:tr>
      <w:tr>
        <w:tc>
          <w:tcPr>
            <w:tcW w:type="dxa" w:w="2600"/>
          </w:tcPr>
          <w:p>
            <w:pPr>
              <w:keepNext/>
            </w:pPr>
            <w:r>
              <w:rPr>
                <w:b/>
              </w:rPr>
              <w:t xml:space="preserve">Índice de costo (tasas, comisiones)</w:t>
            </w:r>
          </w:p>
        </w:tc>
        <w:tc>
          <w:tcPr>
            <w:tcW w:type="dxa" w:w="4760"/>
          </w:tcPr>
          <w:p>
            <w:pPr>
              <w:keepNext/>
            </w:pPr>
            <w:r>
              <w:rPr/>
              <w:t xml:space="preserve">Opinión de quienes usaron crédito nuevo: arriba de 50 = más barato que el trimestre anterior; abajo de 50 = más caro</w:t>
            </w:r>
          </w:p>
        </w:tc>
        <w:tc>
          <w:tcPr>
            <w:tcW w:type="dxa" w:w="2000"/>
          </w:tcPr>
          <w:p>
            <w:pPr>
              <w:keepNext/>
            </w:pPr>
            <w:r>
              <w:rPr/>
              <w:t xml:space="preserve">Índice 0-100</w:t>
            </w:r>
          </w:p>
        </w:tc>
      </w:tr>
      <w:tr>
        <w:tc>
          <w:tcPr>
            <w:tcW w:type="dxa" w:w="2600"/>
          </w:tcPr>
          <w:p>
            <w:pPr>
              <w:keepNext/>
            </w:pPr>
            <w:r>
              <w:rPr>
                <w:b/>
              </w:rPr>
              <w:t xml:space="preserve">Fuentes de financiamiento</w:t>
            </w:r>
          </w:p>
        </w:tc>
        <w:tc>
          <w:tcPr>
            <w:tcW w:type="dxa" w:w="4760"/>
          </w:tcPr>
          <w:p>
            <w:pPr>
              <w:keepNext/>
            </w:pPr>
            <w:r>
              <w:rPr/>
              <w:t xml:space="preserve">Empresas que usaron cada fuente; respuesta múltiple, no suman 100</w:t>
            </w:r>
          </w:p>
        </w:tc>
        <w:tc>
          <w:tcPr>
            <w:tcW w:type="dxa" w:w="2000"/>
          </w:tcPr>
          <w:p>
            <w:pPr>
              <w:keepNext/>
            </w:pPr>
            <w:r>
              <w:rPr/>
              <w:t xml:space="preserve">% de empresas</w:t>
            </w:r>
          </w:p>
        </w:tc>
      </w:tr>
      <w:tr>
        <w:tc>
          <w:tcPr>
            <w:tcW w:type="dxa" w:w="2600"/>
          </w:tcPr>
          <w:p>
            <w:pPr>
              <w:keepNext/>
            </w:pPr>
            <w:r>
              <w:rPr>
                <w:b/>
              </w:rPr>
              <w:t xml:space="preserve">Destino: comercio exterior</w:t>
            </w:r>
          </w:p>
        </w:tc>
        <w:tc>
          <w:tcPr>
            <w:tcW w:type="dxa" w:w="4760"/>
          </w:tcPr>
          <w:p>
            <w:pPr>
              <w:keepNext/>
            </w:pPr>
            <w:r>
              <w:rPr/>
              <w:t xml:space="preserve">De quienes usaron crédito nuevo, % que lo destinó a operaciones de comercio exterior</w:t>
            </w:r>
          </w:p>
        </w:tc>
        <w:tc>
          <w:tcPr>
            <w:tcW w:type="dxa" w:w="2000"/>
          </w:tcPr>
          <w:p>
            <w:pPr>
              <w:keepNext/>
            </w:pPr>
            <w:r>
              <w:rPr/>
              <w:t xml:space="preserve">% de quienes usaron crédito</w:t>
            </w:r>
          </w:p>
        </w:tc>
      </w:tr>
      <w:tr>
        <w:tc>
          <w:tcPr>
            <w:tcW w:type="dxa" w:w="2600"/>
          </w:tcPr>
          <w:p>
            <w:pPr>
              <w:keepNext/>
            </w:pPr>
            <w:r>
              <w:rPr>
                <w:b/>
              </w:rPr>
              <w:t xml:space="preserve">Tasa objetivo</w:t>
            </w:r>
          </w:p>
        </w:tc>
        <w:tc>
          <w:tcPr>
            <w:tcW w:type="dxa" w:w="4760"/>
          </w:tcPr>
          <w:p>
            <w:pPr>
              <w:keepNext/>
            </w:pPr>
            <w:r>
              <w:rPr/>
              <w:t xml:space="preserve">Tasa de política de Banxico al cierre del trimestre</w:t>
            </w:r>
          </w:p>
        </w:tc>
        <w:tc>
          <w:tcPr>
            <w:tcW w:type="dxa" w:w="2000"/>
          </w:tcPr>
          <w:p>
            <w:pPr>
              <w:keepNext/>
            </w:pPr>
            <w:r>
              <w:rPr/>
              <w:t xml:space="preserve">% anual</w:t>
            </w:r>
          </w:p>
        </w:tc>
      </w:tr>
      <w:tr>
        <w:tc>
          <w:tcPr>
            <w:tcW w:type="dxa" w:w="2600"/>
          </w:tcPr>
          <w:p>
            <w:pPr/>
            <w:r>
              <w:rPr>
                <w:b/>
              </w:rPr>
              <w:t xml:space="preserve">TIIE 28 días y TIIE de fondeo</w:t>
            </w:r>
          </w:p>
        </w:tc>
        <w:tc>
          <w:tcPr>
            <w:tcW w:type="dxa" w:w="4760"/>
          </w:tcPr>
          <w:p>
            <w:pPr/>
            <w:r>
              <w:rPr/>
              <w:t xml:space="preserve">Tasas interbancarias de referencia: TIIE 28 al cierre y promedio del trimestre; TIIE de fondeo, promedio</w:t>
            </w:r>
          </w:p>
        </w:tc>
        <w:tc>
          <w:tcPr>
            <w:tcW w:type="dxa" w:w="2000"/>
          </w:tcPr>
          <w:p>
            <w:pPr/>
            <w:r>
              <w:rPr/>
              <w:t xml:space="preserve">% anual</w:t>
            </w:r>
          </w:p>
        </w:tc>
      </w:tr>
    </w:tbl>
    <w:p>
      <w:pPr>
        <w:spacing w:before="160"/>
      </w:pPr>
      <w:r>
        <w:rPr>
          <w:b/>
        </w:rPr>
        <w:t xml:space="preserve">¿Los datos son acumulados? </w:t>
      </w:r>
      <w:r>
        <w:rPr/>
        <w:t xml:space="preserve">No. Cada comunicado y cada serie del SIE reportan lo que pasó en el trimestre de referencia, y el IV trimestre mide solo octubre-diciembre, no el año completo. En 2025, por ejemplo, el IV trimestre fue 15.3% y el promedio del año 13.8%. Por eso el dato anual de este informe es el promedio simple de los trimestres de cada año (Gráfica 2 y hoja Resumen anual).</w:t>
      </w:r>
    </w:p>
    <w:p>
      <w:pPr>
        <w:pStyle w:val="Ttulo2"/>
        <w:keepNext/>
      </w:pPr>
      <w:r>
        <w:rPr/>
        <w:t xml:space="preserve">Hipótesis 2020-2026</w:t>
      </w:r>
    </w:p>
    <w:p>
      <w:pPr>
        <w:keepNext/>
      </w:pPr>
      <w:r>
        <w:rPr/>
        <w:t xml:space="preserve">Seis hipótesis guían la lectura de la encuesta. Cada una se prueba con las series del Excel (hoja Hipótesis).</w:t>
      </w:r>
    </w:p>
    <w:tbl>
      <w:tblPr>
        <w:tblStyle w:val="Tablaconcuadrcula"/>
        <w:tblW w:w="9360" w:type="dxa"/>
        <w:tblLayout w:type="fixed"/>
        <w:tblLook w:val="0420" w:firstRow="1" w:lastRow="0" w:firstColumn="0" w:lastColumn="0" w:noHBand="0" w:noVBand="1"/>
      </w:tblPr>
      <w:tblGrid>
        <w:gridCol w:w="3700"/>
        <w:gridCol w:w="4060"/>
        <w:gridCol w:w="1600"/>
      </w:tblGrid>
      <w:tr>
        <w:trPr>
          <w:tblHeader/>
        </w:trPr>
        <w:tc>
          <w:tcPr>
            <w:tcW w:type="dxa" w:w="3700"/>
            <w:shd w:val="clear" w:color="auto" w:fill="F2F2F2"/>
          </w:tcPr>
          <w:p>
            <w:pPr>
              <w:keepNext/>
            </w:pPr>
            <w:r>
              <w:rPr/>
              <w:t xml:space="preserve">Hipótesis</w:t>
            </w:r>
          </w:p>
        </w:tc>
        <w:tc>
          <w:tcPr>
            <w:tcW w:type="dxa" w:w="4060"/>
            <w:shd w:val="clear" w:color="auto" w:fill="F2F2F2"/>
          </w:tcPr>
          <w:p>
            <w:pPr>
              <w:keepNext/>
            </w:pPr>
            <w:r>
              <w:rPr/>
              <w:t xml:space="preserve">Qué dicen los datos</w:t>
            </w:r>
          </w:p>
        </w:tc>
        <w:tc>
          <w:tcPr>
            <w:tcW w:type="dxa" w:w="1600"/>
            <w:shd w:val="clear" w:color="auto" w:fill="F2F2F2"/>
          </w:tcPr>
          <w:p>
            <w:pPr>
              <w:keepNext/>
            </w:pPr>
            <w:r>
              <w:rPr/>
              <w:t xml:space="preserve">Resultado</w:t>
            </w:r>
          </w:p>
        </w:tc>
      </w:tr>
      <w:tr>
        <w:tc>
          <w:tcPr>
            <w:tcW w:type="dxa" w:w="3700"/>
          </w:tcPr>
          <w:p>
            <w:pPr>
              <w:keepNext/>
            </w:pPr>
            <w:r>
              <w:rPr/>
              <w:t xml:space="preserve">H1. Entre 2020 y 2026 cae el flujo de crédito nuevo, mientras el saldo (empresas con crédito) se mantiene.</w:t>
            </w:r>
          </w:p>
        </w:tc>
        <w:tc>
          <w:tcPr>
            <w:tcW w:type="dxa" w:w="4060"/>
          </w:tcPr>
          <w:p>
            <w:pPr>
              <w:keepNext/>
            </w:pPr>
            <w:r>
              <w:rPr/>
              <w:t xml:space="preserve">Crédito nuevo: 15.4% (2023) a 12.2% (2026). Con crédito: 37.8% a 37.2%. En 2020 la caída fue por la pandemia (II-20: 10.6%).</w:t>
            </w:r>
          </w:p>
        </w:tc>
        <w:tc>
          <w:tcPr>
            <w:tcW w:type="dxa" w:w="1600"/>
          </w:tcPr>
          <w:p>
            <w:pPr>
              <w:keepNext/>
            </w:pPr>
            <w:r>
              <w:rPr/>
              <w:t xml:space="preserve">Se sostiene desde 2023</w:t>
            </w:r>
          </w:p>
        </w:tc>
      </w:tr>
      <w:tr>
        <w:tc>
          <w:tcPr>
            <w:tcW w:type="dxa" w:w="3700"/>
          </w:tcPr>
          <w:p>
            <w:pPr>
              <w:keepNext/>
            </w:pPr>
            <w:r>
              <w:rPr/>
              <w:t xml:space="preserve">H2. La caída se concentra en las empresas de 11 a 100 empleados y la brecha por tamaño se abre.</w:t>
            </w:r>
          </w:p>
        </w:tc>
        <w:tc>
          <w:tcPr>
            <w:tcW w:type="dxa" w:w="4060"/>
          </w:tcPr>
          <w:p>
            <w:pPr>
              <w:keepNext/>
            </w:pPr>
            <w:r>
              <w:rPr/>
              <w:t xml:space="preserve">Brecha de crédito vigente: 6.8 pp (2023) a 12.4 pp (2026). Crédito nuevo II-26: 9.9% pymes vs 21.6% grandes.</w:t>
            </w:r>
          </w:p>
        </w:tc>
        <w:tc>
          <w:tcPr>
            <w:tcW w:type="dxa" w:w="1600"/>
          </w:tcPr>
          <w:p>
            <w:pPr>
              <w:keepNext/>
            </w:pPr>
            <w:r>
              <w:rPr/>
              <w:t xml:space="preserve">Se sostiene</w:t>
            </w:r>
          </w:p>
        </w:tc>
      </w:tr>
      <w:tr>
        <w:tc>
          <w:tcPr>
            <w:tcW w:type="dxa" w:w="3700"/>
          </w:tcPr>
          <w:p>
            <w:pPr>
              <w:keepNext/>
            </w:pPr>
            <w:r>
              <w:rPr/>
              <w:t xml:space="preserve">H3. Los recortes de Banxico (2024-2026) no se tradujeron en más crédito nuevo ni en menor costo percibido.</w:t>
            </w:r>
          </w:p>
        </w:tc>
        <w:tc>
          <w:tcPr>
            <w:tcW w:type="dxa" w:w="4060"/>
          </w:tcPr>
          <w:p>
            <w:pPr>
              <w:keepNext/>
            </w:pPr>
            <w:r>
              <w:rPr/>
              <w:t xml:space="preserve">TIIE 28: 11.40% (2023) a 6.97% (2026). Crédito nuevo: 15.2% en la meseta vs 13.6% en recortes. Índice de tasas: 49.0 (III-25) a 39.4 (II-26).</w:t>
            </w:r>
          </w:p>
        </w:tc>
        <w:tc>
          <w:tcPr>
            <w:tcW w:type="dxa" w:w="1600"/>
          </w:tcPr>
          <w:p>
            <w:pPr>
              <w:keepNext/>
            </w:pPr>
            <w:r>
              <w:rPr/>
              <w:t xml:space="preserve">Se sostiene en parte</w:t>
            </w:r>
          </w:p>
        </w:tc>
      </w:tr>
      <w:tr>
        <w:tc>
          <w:tcPr>
            <w:tcW w:type="dxa" w:w="3700"/>
          </w:tcPr>
          <w:p>
            <w:pPr>
              <w:keepNext/>
            </w:pPr>
            <w:r>
              <w:rPr/>
              <w:t xml:space="preserve">H4. En 2026 los bancos endurecieron la oferta y el rechazo pega más a las pymes.</w:t>
            </w:r>
          </w:p>
        </w:tc>
        <w:tc>
          <w:tcPr>
            <w:tcW w:type="dxa" w:w="4060"/>
          </w:tcPr>
          <w:p>
            <w:pPr>
              <w:keepNext/>
            </w:pPr>
            <w:r>
              <w:rPr/>
              <w:t xml:space="preserve">Rechazo total: 23.4% en 2026 vs 6.4% en 2025. II-26: pymes 28.3%, grandes 3.1%.</w:t>
            </w:r>
          </w:p>
        </w:tc>
        <w:tc>
          <w:tcPr>
            <w:tcW w:type="dxa" w:w="1600"/>
          </w:tcPr>
          <w:p>
            <w:pPr>
              <w:keepNext/>
            </w:pPr>
            <w:r>
              <w:rPr/>
              <w:t xml:space="preserve">Se sostiene</w:t>
            </w:r>
          </w:p>
        </w:tc>
      </w:tr>
      <w:tr>
        <w:tc>
          <w:tcPr>
            <w:tcW w:type="dxa" w:w="3700"/>
          </w:tcPr>
          <w:p>
            <w:pPr>
              <w:keepNext/>
            </w:pPr>
            <w:r>
              <w:rPr/>
              <w:t xml:space="preserve">H5. La restricción principal es de demanda (ventas, situación económica), no de acceso.</w:t>
            </w:r>
          </w:p>
        </w:tc>
        <w:tc>
          <w:tcPr>
            <w:tcW w:type="dxa" w:w="4060"/>
          </w:tcPr>
          <w:p>
            <w:pPr>
              <w:keepNext/>
            </w:pPr>
            <w:r>
              <w:rPr/>
              <w:t xml:space="preserve">II-26: ventas 44.6% y acceso 1.2% como problema principal; 82.1% no solicitó crédito.</w:t>
            </w:r>
          </w:p>
        </w:tc>
        <w:tc>
          <w:tcPr>
            <w:tcW w:type="dxa" w:w="1600"/>
          </w:tcPr>
          <w:p>
            <w:pPr>
              <w:keepNext/>
            </w:pPr>
            <w:r>
              <w:rPr/>
              <w:t xml:space="preserve">Se sostiene</w:t>
            </w:r>
          </w:p>
        </w:tc>
      </w:tr>
      <w:tr>
        <w:tc>
          <w:tcPr>
            <w:tcW w:type="dxa" w:w="3700"/>
          </w:tcPr>
          <w:p>
            <w:pPr/>
            <w:r>
              <w:rPr/>
              <w:t xml:space="preserve">H6. Las empresas ligadas al comercio exterior usan más el crédito bancario.</w:t>
            </w:r>
          </w:p>
        </w:tc>
        <w:tc>
          <w:tcPr>
            <w:tcW w:type="dxa" w:w="4060"/>
          </w:tcPr>
          <w:p>
            <w:pPr/>
            <w:r>
              <w:rPr/>
              <w:t xml:space="preserve">El SIE no separa exportadoras. Del crédito nuevo, lo destinó a comercio exterior 0.9% de las grandes y 0.0% de las pymes (II-26).</w:t>
            </w:r>
          </w:p>
        </w:tc>
        <w:tc>
          <w:tcPr>
            <w:tcW w:type="dxa" w:w="1600"/>
          </w:tcPr>
          <w:p>
            <w:pPr/>
            <w:r>
              <w:rPr/>
              <w:t xml:space="preserve">Parcial: con proxy</w:t>
            </w:r>
          </w:p>
        </w:tc>
      </w:tr>
    </w:tbl>
    <w:p>
      <w:pPr>
        <w:pStyle w:val="Ttulo2"/>
        <w:keepNext/>
        <w:spacing w:before="160"/>
      </w:pPr>
      <w:r>
        <w:rPr/>
        <w:t xml:space="preserve">Crédito nuevo: cae el flujo, no el saldo</w:t>
      </w:r>
    </w:p>
    <w:p>
      <w:pPr/>
      <w:r>
        <w:rPr/>
        <w:t xml:space="preserve">Por año, el crédito nuevo pasó de 15.4% (2023) a 12.2% en el primer semestre de 2026: una tendencia de -1.0 pp por año desde I-23. Si se toma todo el periodo I-20 a II-26 la recta es casi plana (+0.08 pp por año), porque 2020 y 2021 fueron bajos; la caída es de 2023 en adelante.</w:t>
      </w:r>
    </w:p>
    <w:p>
      <w:pPr>
        <w:keepNext/>
        <w:jc w:val="center"/>
      </w:pPr>
      <w:r>
        <w:drawing>
          <wp:inline xmlns:a="http://schemas.openxmlformats.org/drawingml/2006/main" xmlns:pic="http://schemas.openxmlformats.org/drawingml/2006/picture">
            <wp:extent cx="5486400" cy="2852928"/>
            <wp:docPr id="1" name="Picture 1" descr="Crédito bancario nuevo 2020-2026 y tendencia"/>
            <wp:cNvGraphicFramePr>
              <a:graphicFrameLocks noChangeAspect="1"/>
            </wp:cNvGraphicFramePr>
            <a:graphic>
              <a:graphicData uri="http://schemas.openxmlformats.org/drawingml/2006/picture">
                <pic:pic>
                  <pic:nvPicPr>
                    <pic:cNvPr id="0" name="g1_nuevo_credito_tendencia.png" descr="Crédito bancario nuevo 2020-2026 y tendencia"/>
                    <pic:cNvPicPr/>
                  </pic:nvPicPr>
                  <pic:blipFill>
                    <a:blip r:embed="rId24"/>
                    <a:stretch>
                      <a:fillRect/>
                    </a:stretch>
                  </pic:blipFill>
                  <pic:spPr>
                    <a:xfrm>
                      <a:off x="0" y="0"/>
                      <a:ext cx="5486400" cy="2852928"/>
                    </a:xfrm>
                    <a:prstGeom prst="rect"/>
                  </pic:spPr>
                </pic:pic>
              </a:graphicData>
            </a:graphic>
          </wp:inline>
        </w:drawing>
      </w:r>
    </w:p>
    <w:p>
      <w:pPr/>
      <w:r>
        <w:rPr>
          <w:b/>
          <w:sz w:val="18"/>
        </w:rPr>
        <w:t xml:space="preserve">Gráfica 1 · Fuente: </w:t>
      </w:r>
      <w:r>
        <w:rPr>
          <w:sz w:val="18"/>
        </w:rPr>
        <w:t xml:space="preserve">Banxico, SIE (diseño vigente, I-2020 a II-2026) y comunicados de la muestra anterior (I-2020 a II-2022, solo referencia). Tendencia: mínimos cuadrados, I-23 a II-26. Datos: Excel, hoja Serie completa 2020-2026.</w:t>
      </w:r>
    </w:p>
    <w:p>
      <w:pPr>
        <w:keepNext/>
      </w:pPr>
      <w:r>
        <w:rPr>
          <w:b/>
        </w:rPr>
        <w:t xml:space="preserve">Crédito nuevo por año, 2020-2026. </w:t>
      </w:r>
      <w:r>
        <w:rPr/>
        <w:t xml:space="preserve">Promedio de los trimestres de cada año; la columna del IV trimestre muestra que ese dato no es el acumulado.</w:t>
      </w:r>
    </w:p>
    <w:tbl>
      <w:tblPr>
        <w:tblStyle w:val="Tablaconcuadrcula"/>
        <w:tblW w:w="9360" w:type="dxa"/>
        <w:tblLayout w:type="fixed"/>
        <w:tblLook w:val="0420" w:firstRow="1" w:lastRow="0" w:firstColumn="0" w:lastColumn="0" w:noHBand="0" w:noVBand="1"/>
      </w:tblPr>
      <w:tblGrid>
        <w:gridCol w:w="2410"/>
        <w:gridCol w:w="1250"/>
        <w:gridCol w:w="1700"/>
        <w:gridCol w:w="1300"/>
        <w:gridCol w:w="1600"/>
        <w:gridCol w:w="1100"/>
      </w:tblGrid>
      <w:tr>
        <w:trPr>
          <w:tblHeader/>
        </w:trPr>
        <w:tc>
          <w:tcPr>
            <w:tcW w:type="dxa" w:w="2410"/>
            <w:shd w:val="clear" w:color="auto" w:fill="F2F2F2"/>
          </w:tcPr>
          <w:p>
            <w:pPr>
              <w:keepNext/>
            </w:pPr>
            <w:r>
              <w:rPr/>
              <w:t xml:space="preserve">Año</w:t>
            </w:r>
          </w:p>
        </w:tc>
        <w:tc>
          <w:tcPr>
            <w:tcW w:type="dxa" w:w="1250"/>
            <w:shd w:val="clear" w:color="auto" w:fill="F2F2F2"/>
          </w:tcPr>
          <w:p>
            <w:pPr>
              <w:keepNext/>
            </w:pPr>
            <w:r>
              <w:rPr/>
              <w:t xml:space="preserve">Trimestres</w:t>
            </w:r>
          </w:p>
        </w:tc>
        <w:tc>
          <w:tcPr>
            <w:tcW w:type="dxa" w:w="1700"/>
            <w:shd w:val="clear" w:color="auto" w:fill="F2F2F2"/>
          </w:tcPr>
          <w:p>
            <w:pPr>
              <w:keepNext/>
            </w:pPr>
            <w:r>
              <w:rPr/>
              <w:t xml:space="preserve">Usaron crédito nuevo, promedio (%)</w:t>
            </w:r>
          </w:p>
        </w:tc>
        <w:tc>
          <w:tcPr>
            <w:tcW w:type="dxa" w:w="1300"/>
            <w:shd w:val="clear" w:color="auto" w:fill="F2F2F2"/>
          </w:tcPr>
          <w:p>
            <w:pPr>
              <w:keepNext/>
            </w:pPr>
            <w:r>
              <w:rPr/>
              <w:t xml:space="preserve">IV trimestre (%)</w:t>
            </w:r>
          </w:p>
        </w:tc>
        <w:tc>
          <w:tcPr>
            <w:tcW w:type="dxa" w:w="1600"/>
            <w:shd w:val="clear" w:color="auto" w:fill="F2F2F2"/>
          </w:tcPr>
          <w:p>
            <w:pPr>
              <w:keepNext/>
            </w:pPr>
            <w:r>
              <w:rPr/>
              <w:t xml:space="preserve">Con crédito al inicio, promedio (%)</w:t>
            </w:r>
          </w:p>
        </w:tc>
        <w:tc>
          <w:tcPr>
            <w:tcW w:type="dxa" w:w="1100"/>
            <w:shd w:val="clear" w:color="auto" w:fill="F2F2F2"/>
          </w:tcPr>
          <w:p>
            <w:pPr>
              <w:keepNext/>
            </w:pPr>
            <w:r>
              <w:rPr/>
              <w:t xml:space="preserve">TIIE 28 días, promedio (%)</w:t>
            </w:r>
          </w:p>
        </w:tc>
      </w:tr>
      <w:tr>
        <w:tc>
          <w:tcPr>
            <w:tcW w:type="dxa" w:w="2410"/>
          </w:tcPr>
          <w:p>
            <w:pPr>
              <w:keepNext/>
            </w:pPr>
            <w:r>
              <w:rPr>
                <w:b/>
              </w:rPr>
              <w:t xml:space="preserve">2020</w:t>
            </w:r>
          </w:p>
        </w:tc>
        <w:tc>
          <w:tcPr>
            <w:tcW w:type="dxa" w:w="1250"/>
          </w:tcPr>
          <w:p>
            <w:pPr>
              <w:keepNext/>
            </w:pPr>
            <w:r>
              <w:rPr/>
              <w:t xml:space="preserve">4</w:t>
            </w:r>
          </w:p>
        </w:tc>
        <w:tc>
          <w:tcPr>
            <w:tcW w:type="dxa" w:w="1700"/>
          </w:tcPr>
          <w:p>
            <w:pPr>
              <w:keepNext/>
            </w:pPr>
            <w:r>
              <w:rPr/>
              <w:t xml:space="preserve">13.0</w:t>
            </w:r>
          </w:p>
        </w:tc>
        <w:tc>
          <w:tcPr>
            <w:tcW w:type="dxa" w:w="1300"/>
          </w:tcPr>
          <w:p>
            <w:pPr>
              <w:keepNext/>
            </w:pPr>
            <w:r>
              <w:rPr/>
              <w:t xml:space="preserve">13.6</w:t>
            </w:r>
          </w:p>
        </w:tc>
        <w:tc>
          <w:tcPr>
            <w:tcW w:type="dxa" w:w="1600"/>
          </w:tcPr>
          <w:p>
            <w:pPr>
              <w:keepNext/>
            </w:pPr>
            <w:r>
              <w:rPr/>
              <w:t xml:space="preserve">38.3</w:t>
            </w:r>
          </w:p>
        </w:tc>
        <w:tc>
          <w:tcPr>
            <w:tcW w:type="dxa" w:w="1100"/>
          </w:tcPr>
          <w:p>
            <w:pPr>
              <w:keepNext/>
            </w:pPr>
            <w:r>
              <w:rPr/>
              <w:t xml:space="preserve">5.72</w:t>
            </w:r>
          </w:p>
        </w:tc>
      </w:tr>
      <w:tr>
        <w:tc>
          <w:tcPr>
            <w:tcW w:type="dxa" w:w="2410"/>
          </w:tcPr>
          <w:p>
            <w:pPr>
              <w:keepNext/>
            </w:pPr>
            <w:r>
              <w:rPr>
                <w:b/>
              </w:rPr>
              <w:t xml:space="preserve">2021</w:t>
            </w:r>
          </w:p>
        </w:tc>
        <w:tc>
          <w:tcPr>
            <w:tcW w:type="dxa" w:w="1250"/>
          </w:tcPr>
          <w:p>
            <w:pPr>
              <w:keepNext/>
            </w:pPr>
            <w:r>
              <w:rPr/>
              <w:t xml:space="preserve">4</w:t>
            </w:r>
          </w:p>
        </w:tc>
        <w:tc>
          <w:tcPr>
            <w:tcW w:type="dxa" w:w="1700"/>
          </w:tcPr>
          <w:p>
            <w:pPr>
              <w:keepNext/>
            </w:pPr>
            <w:r>
              <w:rPr/>
              <w:t xml:space="preserve">11.8</w:t>
            </w:r>
          </w:p>
        </w:tc>
        <w:tc>
          <w:tcPr>
            <w:tcW w:type="dxa" w:w="1300"/>
          </w:tcPr>
          <w:p>
            <w:pPr>
              <w:keepNext/>
            </w:pPr>
            <w:r>
              <w:rPr/>
              <w:t xml:space="preserve">9.0</w:t>
            </w:r>
          </w:p>
        </w:tc>
        <w:tc>
          <w:tcPr>
            <w:tcW w:type="dxa" w:w="1600"/>
          </w:tcPr>
          <w:p>
            <w:pPr>
              <w:keepNext/>
            </w:pPr>
            <w:r>
              <w:rPr/>
              <w:t xml:space="preserve">37.7</w:t>
            </w:r>
          </w:p>
        </w:tc>
        <w:tc>
          <w:tcPr>
            <w:tcW w:type="dxa" w:w="1100"/>
          </w:tcPr>
          <w:p>
            <w:pPr>
              <w:keepNext/>
            </w:pPr>
            <w:r>
              <w:rPr/>
              <w:t xml:space="preserve">4.62</w:t>
            </w:r>
          </w:p>
        </w:tc>
      </w:tr>
      <w:tr>
        <w:tc>
          <w:tcPr>
            <w:tcW w:type="dxa" w:w="2410"/>
          </w:tcPr>
          <w:p>
            <w:pPr>
              <w:keepNext/>
            </w:pPr>
            <w:r>
              <w:rPr>
                <w:b/>
              </w:rPr>
              <w:t xml:space="preserve">2022</w:t>
            </w:r>
          </w:p>
        </w:tc>
        <w:tc>
          <w:tcPr>
            <w:tcW w:type="dxa" w:w="1250"/>
          </w:tcPr>
          <w:p>
            <w:pPr>
              <w:keepNext/>
            </w:pPr>
            <w:r>
              <w:rPr/>
              <w:t xml:space="preserve">4</w:t>
            </w:r>
          </w:p>
        </w:tc>
        <w:tc>
          <w:tcPr>
            <w:tcW w:type="dxa" w:w="1700"/>
          </w:tcPr>
          <w:p>
            <w:pPr>
              <w:keepNext/>
            </w:pPr>
            <w:r>
              <w:rPr/>
              <w:t xml:space="preserve">15.4</w:t>
            </w:r>
          </w:p>
        </w:tc>
        <w:tc>
          <w:tcPr>
            <w:tcW w:type="dxa" w:w="1300"/>
          </w:tcPr>
          <w:p>
            <w:pPr>
              <w:keepNext/>
            </w:pPr>
            <w:r>
              <w:rPr/>
              <w:t xml:space="preserve">13.8</w:t>
            </w:r>
          </w:p>
        </w:tc>
        <w:tc>
          <w:tcPr>
            <w:tcW w:type="dxa" w:w="1600"/>
          </w:tcPr>
          <w:p>
            <w:pPr>
              <w:keepNext/>
            </w:pPr>
            <w:r>
              <w:rPr/>
              <w:t xml:space="preserve">39.3</w:t>
            </w:r>
          </w:p>
        </w:tc>
        <w:tc>
          <w:tcPr>
            <w:tcW w:type="dxa" w:w="1100"/>
          </w:tcPr>
          <w:p>
            <w:pPr>
              <w:keepNext/>
            </w:pPr>
            <w:r>
              <w:rPr/>
              <w:t xml:space="preserve">7.90</w:t>
            </w:r>
          </w:p>
        </w:tc>
      </w:tr>
      <w:tr>
        <w:tc>
          <w:tcPr>
            <w:tcW w:type="dxa" w:w="2410"/>
          </w:tcPr>
          <w:p>
            <w:pPr>
              <w:keepNext/>
            </w:pPr>
            <w:r>
              <w:rPr>
                <w:b/>
              </w:rPr>
              <w:t xml:space="preserve">2023</w:t>
            </w:r>
          </w:p>
        </w:tc>
        <w:tc>
          <w:tcPr>
            <w:tcW w:type="dxa" w:w="1250"/>
          </w:tcPr>
          <w:p>
            <w:pPr>
              <w:keepNext/>
            </w:pPr>
            <w:r>
              <w:rPr/>
              <w:t xml:space="preserve">4</w:t>
            </w:r>
          </w:p>
        </w:tc>
        <w:tc>
          <w:tcPr>
            <w:tcW w:type="dxa" w:w="1700"/>
          </w:tcPr>
          <w:p>
            <w:pPr>
              <w:keepNext/>
            </w:pPr>
            <w:r>
              <w:rPr/>
              <w:t xml:space="preserve">15.4</w:t>
            </w:r>
          </w:p>
        </w:tc>
        <w:tc>
          <w:tcPr>
            <w:tcW w:type="dxa" w:w="1300"/>
          </w:tcPr>
          <w:p>
            <w:pPr>
              <w:keepNext/>
            </w:pPr>
            <w:r>
              <w:rPr/>
              <w:t xml:space="preserve">15.6</w:t>
            </w:r>
          </w:p>
        </w:tc>
        <w:tc>
          <w:tcPr>
            <w:tcW w:type="dxa" w:w="1600"/>
          </w:tcPr>
          <w:p>
            <w:pPr>
              <w:keepNext/>
            </w:pPr>
            <w:r>
              <w:rPr/>
              <w:t xml:space="preserve">37.8</w:t>
            </w:r>
          </w:p>
        </w:tc>
        <w:tc>
          <w:tcPr>
            <w:tcW w:type="dxa" w:w="1100"/>
          </w:tcPr>
          <w:p>
            <w:pPr>
              <w:keepNext/>
            </w:pPr>
            <w:r>
              <w:rPr/>
              <w:t xml:space="preserve">11.40</w:t>
            </w:r>
          </w:p>
        </w:tc>
      </w:tr>
      <w:tr>
        <w:tc>
          <w:tcPr>
            <w:tcW w:type="dxa" w:w="2410"/>
          </w:tcPr>
          <w:p>
            <w:pPr>
              <w:keepNext/>
            </w:pPr>
            <w:r>
              <w:rPr>
                <w:b/>
              </w:rPr>
              <w:t xml:space="preserve">2024</w:t>
            </w:r>
          </w:p>
        </w:tc>
        <w:tc>
          <w:tcPr>
            <w:tcW w:type="dxa" w:w="1250"/>
          </w:tcPr>
          <w:p>
            <w:pPr>
              <w:keepNext/>
            </w:pPr>
            <w:r>
              <w:rPr/>
              <w:t xml:space="preserve">4</w:t>
            </w:r>
          </w:p>
        </w:tc>
        <w:tc>
          <w:tcPr>
            <w:tcW w:type="dxa" w:w="1700"/>
          </w:tcPr>
          <w:p>
            <w:pPr>
              <w:keepNext/>
            </w:pPr>
            <w:r>
              <w:rPr/>
              <w:t xml:space="preserve">14.1</w:t>
            </w:r>
          </w:p>
        </w:tc>
        <w:tc>
          <w:tcPr>
            <w:tcW w:type="dxa" w:w="1300"/>
          </w:tcPr>
          <w:p>
            <w:pPr>
              <w:keepNext/>
            </w:pPr>
            <w:r>
              <w:rPr/>
              <w:t xml:space="preserve">12.1</w:t>
            </w:r>
          </w:p>
        </w:tc>
        <w:tc>
          <w:tcPr>
            <w:tcW w:type="dxa" w:w="1600"/>
          </w:tcPr>
          <w:p>
            <w:pPr>
              <w:keepNext/>
            </w:pPr>
            <w:r>
              <w:rPr/>
              <w:t xml:space="preserve">39.0</w:t>
            </w:r>
          </w:p>
        </w:tc>
        <w:tc>
          <w:tcPr>
            <w:tcW w:type="dxa" w:w="1100"/>
          </w:tcPr>
          <w:p>
            <w:pPr>
              <w:keepNext/>
            </w:pPr>
            <w:r>
              <w:rPr/>
              <w:t xml:space="preserve">11.10</w:t>
            </w:r>
          </w:p>
        </w:tc>
      </w:tr>
      <w:tr>
        <w:tc>
          <w:tcPr>
            <w:tcW w:type="dxa" w:w="2410"/>
          </w:tcPr>
          <w:p>
            <w:pPr>
              <w:keepNext/>
            </w:pPr>
            <w:r>
              <w:rPr>
                <w:b/>
              </w:rPr>
              <w:t xml:space="preserve">2025</w:t>
            </w:r>
          </w:p>
        </w:tc>
        <w:tc>
          <w:tcPr>
            <w:tcW w:type="dxa" w:w="1250"/>
          </w:tcPr>
          <w:p>
            <w:pPr>
              <w:keepNext/>
            </w:pPr>
            <w:r>
              <w:rPr/>
              <w:t xml:space="preserve">4</w:t>
            </w:r>
          </w:p>
        </w:tc>
        <w:tc>
          <w:tcPr>
            <w:tcW w:type="dxa" w:w="1700"/>
          </w:tcPr>
          <w:p>
            <w:pPr>
              <w:keepNext/>
            </w:pPr>
            <w:r>
              <w:rPr/>
              <w:t xml:space="preserve">13.8</w:t>
            </w:r>
          </w:p>
        </w:tc>
        <w:tc>
          <w:tcPr>
            <w:tcW w:type="dxa" w:w="1300"/>
          </w:tcPr>
          <w:p>
            <w:pPr>
              <w:keepNext/>
            </w:pPr>
            <w:r>
              <w:rPr/>
              <w:t xml:space="preserve">15.3</w:t>
            </w:r>
          </w:p>
        </w:tc>
        <w:tc>
          <w:tcPr>
            <w:tcW w:type="dxa" w:w="1600"/>
          </w:tcPr>
          <w:p>
            <w:pPr>
              <w:keepNext/>
            </w:pPr>
            <w:r>
              <w:rPr/>
              <w:t xml:space="preserve">37.3</w:t>
            </w:r>
          </w:p>
        </w:tc>
        <w:tc>
          <w:tcPr>
            <w:tcW w:type="dxa" w:w="1100"/>
          </w:tcPr>
          <w:p>
            <w:pPr>
              <w:keepNext/>
            </w:pPr>
            <w:r>
              <w:rPr/>
              <w:t xml:space="preserve">8.69</w:t>
            </w:r>
          </w:p>
        </w:tc>
      </w:tr>
      <w:tr>
        <w:tc>
          <w:tcPr>
            <w:tcW w:type="dxa" w:w="2410"/>
          </w:tcPr>
          <w:p>
            <w:pPr/>
            <w:r>
              <w:rPr>
                <w:b/>
              </w:rPr>
              <w:t xml:space="preserve">2026 · I y II (III pendiente)</w:t>
            </w:r>
          </w:p>
        </w:tc>
        <w:tc>
          <w:tcPr>
            <w:tcW w:type="dxa" w:w="1250"/>
          </w:tcPr>
          <w:p>
            <w:pPr/>
            <w:r>
              <w:rPr/>
              <w:t xml:space="preserve">2</w:t>
            </w:r>
          </w:p>
        </w:tc>
        <w:tc>
          <w:tcPr>
            <w:tcW w:type="dxa" w:w="1700"/>
          </w:tcPr>
          <w:p>
            <w:pPr/>
            <w:r>
              <w:rPr/>
              <w:t xml:space="preserve">12.2</w:t>
            </w:r>
          </w:p>
        </w:tc>
        <w:tc>
          <w:tcPr>
            <w:tcW w:type="dxa" w:w="1300"/>
          </w:tcPr>
          <w:p>
            <w:pPr/>
            <w:r>
              <w:rPr/>
              <w:t xml:space="preserve">n.d.</w:t>
            </w:r>
          </w:p>
        </w:tc>
        <w:tc>
          <w:tcPr>
            <w:tcW w:type="dxa" w:w="1600"/>
          </w:tcPr>
          <w:p>
            <w:pPr/>
            <w:r>
              <w:rPr/>
              <w:t xml:space="preserve">37.2</w:t>
            </w:r>
          </w:p>
        </w:tc>
        <w:tc>
          <w:tcPr>
            <w:tcW w:type="dxa" w:w="1100"/>
          </w:tcPr>
          <w:p>
            <w:pPr/>
            <w:r>
              <w:rPr/>
              <w:t xml:space="preserve">6.97</w:t>
            </w:r>
          </w:p>
        </w:tc>
      </w:tr>
    </w:tbl>
    <w:p>
      <w:pPr>
        <w:keepNext/>
        <w:spacing w:before="160"/>
        <w:jc w:val="center"/>
      </w:pPr>
      <w:r>
        <w:drawing>
          <wp:inline xmlns:a="http://schemas.openxmlformats.org/drawingml/2006/main" xmlns:pic="http://schemas.openxmlformats.org/drawingml/2006/picture">
            <wp:extent cx="5486400" cy="2633472"/>
            <wp:docPr id="2" name="Picture 2" descr="Crédito nuevo por año 2020-2026"/>
            <wp:cNvGraphicFramePr>
              <a:graphicFrameLocks noChangeAspect="1"/>
            </wp:cNvGraphicFramePr>
            <a:graphic>
              <a:graphicData uri="http://schemas.openxmlformats.org/drawingml/2006/picture">
                <pic:pic>
                  <pic:nvPicPr>
                    <pic:cNvPr id="0" name="g2_nuevo_credito_anual.png" descr="Crédito nuevo por año 2020-2026"/>
                    <pic:cNvPicPr/>
                  </pic:nvPicPr>
                  <pic:blipFill>
                    <a:blip r:embed="rId25"/>
                    <a:stretch>
                      <a:fillRect/>
                    </a:stretch>
                  </pic:blipFill>
                  <pic:spPr>
                    <a:xfrm>
                      <a:off x="0" y="0"/>
                      <a:ext cx="5486400" cy="2633472"/>
                    </a:xfrm>
                    <a:prstGeom prst="rect"/>
                  </pic:spPr>
                </pic:pic>
              </a:graphicData>
            </a:graphic>
          </wp:inline>
        </w:drawing>
      </w:r>
    </w:p>
    <w:p>
      <w:pPr/>
      <w:r>
        <w:rPr>
          <w:b/>
          <w:sz w:val="18"/>
        </w:rPr>
        <w:t xml:space="preserve">Gráfica 2 · Fuente: </w:t>
      </w:r>
      <w:r>
        <w:rPr>
          <w:sz w:val="18"/>
        </w:rPr>
        <w:t xml:space="preserve">Banxico, SIE y comunicados de la encuesta, diseño vigente I-2020 a II-2026. Promedio simple de trimestres. Datos: Excel, hoja Resumen anual.</w:t>
      </w:r>
    </w:p>
    <w:p>
      <w:pPr>
        <w:keepNext/>
      </w:pPr>
      <w:r>
        <w:rPr>
          <w:b/>
        </w:rPr>
        <w:t xml:space="preserve">2020 trimestre por trimestre. </w:t>
      </w:r>
      <w:r>
        <w:rPr/>
        <w:t xml:space="preserve">Diseño vigente del SIE; la última columna es lo que decía la muestra anterior en los comunicados de esos años.</w:t>
      </w:r>
    </w:p>
    <w:tbl>
      <w:tblPr>
        <w:tblStyle w:val="Tablaconcuadrcula"/>
        <w:tblW w:w="9360" w:type="dxa"/>
        <w:tblLayout w:type="fixed"/>
        <w:tblLook w:val="0420" w:firstRow="1" w:lastRow="0" w:firstColumn="0" w:lastColumn="0" w:noHBand="0" w:noVBand="1"/>
      </w:tblPr>
      <w:tblGrid>
        <w:gridCol w:w="1250"/>
        <w:gridCol w:w="1100"/>
        <w:gridCol w:w="1100"/>
        <w:gridCol w:w="1100"/>
        <w:gridCol w:w="1100"/>
        <w:gridCol w:w="1100"/>
        <w:gridCol w:w="1180"/>
        <w:gridCol w:w="1430"/>
      </w:tblGrid>
      <w:tr>
        <w:trPr>
          <w:tblHeader/>
        </w:trPr>
        <w:tc>
          <w:tcPr>
            <w:tcW w:type="dxa" w:w="1250"/>
            <w:shd w:val="clear" w:color="auto" w:fill="F2F2F2"/>
          </w:tcPr>
          <w:p>
            <w:pPr>
              <w:keepNext/>
            </w:pPr>
            <w:r>
              <w:rPr/>
              <w:t xml:space="preserve">Trimestre</w:t>
            </w:r>
          </w:p>
        </w:tc>
        <w:tc>
          <w:tcPr>
            <w:tcW w:type="dxa" w:w="1100"/>
            <w:shd w:val="clear" w:color="auto" w:fill="F2F2F2"/>
          </w:tcPr>
          <w:p>
            <w:pPr>
              <w:keepNext/>
            </w:pPr>
            <w:r>
              <w:rPr/>
              <w:t xml:space="preserve">Crédito nuevo (%)</w:t>
            </w:r>
          </w:p>
        </w:tc>
        <w:tc>
          <w:tcPr>
            <w:tcW w:type="dxa" w:w="1100"/>
            <w:shd w:val="clear" w:color="auto" w:fill="F2F2F2"/>
          </w:tcPr>
          <w:p>
            <w:pPr>
              <w:keepNext/>
            </w:pPr>
            <w:r>
              <w:rPr/>
              <w:t xml:space="preserve">Con crédito (%)</w:t>
            </w:r>
          </w:p>
        </w:tc>
        <w:tc>
          <w:tcPr>
            <w:tcW w:type="dxa" w:w="1100"/>
            <w:shd w:val="clear" w:color="auto" w:fill="F2F2F2"/>
          </w:tcPr>
          <w:p>
            <w:pPr>
              <w:keepNext/>
            </w:pPr>
            <w:r>
              <w:rPr/>
              <w:t xml:space="preserve">Índice de tasas</w:t>
            </w:r>
          </w:p>
        </w:tc>
        <w:tc>
          <w:tcPr>
            <w:tcW w:type="dxa" w:w="1100"/>
            <w:shd w:val="clear" w:color="auto" w:fill="F2F2F2"/>
          </w:tcPr>
          <w:p>
            <w:pPr>
              <w:keepNext/>
            </w:pPr>
            <w:r>
              <w:rPr/>
              <w:t xml:space="preserve">Tasa de rechazo</w:t>
            </w:r>
          </w:p>
        </w:tc>
        <w:tc>
          <w:tcPr>
            <w:tcW w:type="dxa" w:w="1100"/>
            <w:shd w:val="clear" w:color="auto" w:fill="F2F2F2"/>
          </w:tcPr>
          <w:p>
            <w:pPr>
              <w:keepNext/>
            </w:pPr>
            <w:r>
              <w:rPr/>
              <w:t xml:space="preserve">Tasa objetivo (%)</w:t>
            </w:r>
          </w:p>
        </w:tc>
        <w:tc>
          <w:tcPr>
            <w:tcW w:type="dxa" w:w="1180"/>
            <w:shd w:val="clear" w:color="auto" w:fill="F2F2F2"/>
          </w:tcPr>
          <w:p>
            <w:pPr>
              <w:keepNext/>
            </w:pPr>
            <w:r>
              <w:rPr/>
              <w:t xml:space="preserve">TIIE 28 al cierre (%)</w:t>
            </w:r>
          </w:p>
        </w:tc>
        <w:tc>
          <w:tcPr>
            <w:tcW w:type="dxa" w:w="1430"/>
            <w:shd w:val="clear" w:color="auto" w:fill="F2F2F2"/>
          </w:tcPr>
          <w:p>
            <w:pPr>
              <w:keepNext/>
            </w:pPr>
            <w:r>
              <w:rPr/>
              <w:t xml:space="preserve">Muestra anterior: crédito nuevo (%)</w:t>
            </w:r>
          </w:p>
        </w:tc>
      </w:tr>
      <w:tr>
        <w:tc>
          <w:tcPr>
            <w:tcW w:type="dxa" w:w="1250"/>
          </w:tcPr>
          <w:p>
            <w:pPr>
              <w:keepNext/>
            </w:pPr>
            <w:r>
              <w:rPr>
                <w:b/>
              </w:rPr>
              <w:t xml:space="preserve">I-20</w:t>
            </w:r>
          </w:p>
        </w:tc>
        <w:tc>
          <w:tcPr>
            <w:tcW w:type="dxa" w:w="1100"/>
          </w:tcPr>
          <w:p>
            <w:pPr>
              <w:keepNext/>
            </w:pPr>
            <w:r>
              <w:rPr/>
              <w:t xml:space="preserve">14.8</w:t>
            </w:r>
          </w:p>
        </w:tc>
        <w:tc>
          <w:tcPr>
            <w:tcW w:type="dxa" w:w="1100"/>
          </w:tcPr>
          <w:p>
            <w:pPr>
              <w:keepNext/>
            </w:pPr>
            <w:r>
              <w:rPr/>
              <w:t xml:space="preserve">39.4</w:t>
            </w:r>
          </w:p>
        </w:tc>
        <w:tc>
          <w:tcPr>
            <w:tcW w:type="dxa" w:w="1100"/>
          </w:tcPr>
          <w:p>
            <w:pPr>
              <w:keepNext/>
            </w:pPr>
            <w:r>
              <w:rPr/>
              <w:t xml:space="preserve">49.1</w:t>
            </w:r>
          </w:p>
        </w:tc>
        <w:tc>
          <w:tcPr>
            <w:tcW w:type="dxa" w:w="1100"/>
          </w:tcPr>
          <w:p>
            <w:pPr>
              <w:keepNext/>
            </w:pPr>
            <w:r>
              <w:rPr/>
              <w:t xml:space="preserve">16.9%</w:t>
            </w:r>
          </w:p>
        </w:tc>
        <w:tc>
          <w:tcPr>
            <w:tcW w:type="dxa" w:w="1100"/>
          </w:tcPr>
          <w:p>
            <w:pPr>
              <w:keepNext/>
            </w:pPr>
            <w:r>
              <w:rPr/>
              <w:t xml:space="preserve">6.50</w:t>
            </w:r>
          </w:p>
        </w:tc>
        <w:tc>
          <w:tcPr>
            <w:tcW w:type="dxa" w:w="1180"/>
          </w:tcPr>
          <w:p>
            <w:pPr>
              <w:keepNext/>
            </w:pPr>
            <w:r>
              <w:rPr/>
              <w:t xml:space="preserve">6.74</w:t>
            </w:r>
          </w:p>
        </w:tc>
        <w:tc>
          <w:tcPr>
            <w:tcW w:type="dxa" w:w="1430"/>
          </w:tcPr>
          <w:p>
            <w:pPr>
              <w:keepNext/>
            </w:pPr>
            <w:r>
              <w:rPr/>
              <w:t xml:space="preserve">24.2</w:t>
            </w:r>
          </w:p>
        </w:tc>
      </w:tr>
      <w:tr>
        <w:tc>
          <w:tcPr>
            <w:tcW w:type="dxa" w:w="1250"/>
          </w:tcPr>
          <w:p>
            <w:pPr>
              <w:keepNext/>
            </w:pPr>
            <w:r>
              <w:rPr>
                <w:b/>
              </w:rPr>
              <w:t xml:space="preserve">II-20</w:t>
            </w:r>
          </w:p>
        </w:tc>
        <w:tc>
          <w:tcPr>
            <w:tcW w:type="dxa" w:w="1100"/>
          </w:tcPr>
          <w:p>
            <w:pPr>
              <w:keepNext/>
            </w:pPr>
            <w:r>
              <w:rPr/>
              <w:t xml:space="preserve">10.6</w:t>
            </w:r>
          </w:p>
        </w:tc>
        <w:tc>
          <w:tcPr>
            <w:tcW w:type="dxa" w:w="1100"/>
          </w:tcPr>
          <w:p>
            <w:pPr>
              <w:keepNext/>
            </w:pPr>
            <w:r>
              <w:rPr/>
              <w:t xml:space="preserve">37.2</w:t>
            </w:r>
          </w:p>
        </w:tc>
        <w:tc>
          <w:tcPr>
            <w:tcW w:type="dxa" w:w="1100"/>
          </w:tcPr>
          <w:p>
            <w:pPr>
              <w:keepNext/>
            </w:pPr>
            <w:r>
              <w:rPr/>
              <w:t xml:space="preserve">36.8</w:t>
            </w:r>
          </w:p>
        </w:tc>
        <w:tc>
          <w:tcPr>
            <w:tcW w:type="dxa" w:w="1100"/>
          </w:tcPr>
          <w:p>
            <w:pPr>
              <w:keepNext/>
            </w:pPr>
            <w:r>
              <w:rPr/>
              <w:t xml:space="preserve">25.9%</w:t>
            </w:r>
          </w:p>
        </w:tc>
        <w:tc>
          <w:tcPr>
            <w:tcW w:type="dxa" w:w="1100"/>
          </w:tcPr>
          <w:p>
            <w:pPr>
              <w:keepNext/>
            </w:pPr>
            <w:r>
              <w:rPr/>
              <w:t xml:space="preserve">5.00</w:t>
            </w:r>
          </w:p>
        </w:tc>
        <w:tc>
          <w:tcPr>
            <w:tcW w:type="dxa" w:w="1180"/>
          </w:tcPr>
          <w:p>
            <w:pPr>
              <w:keepNext/>
            </w:pPr>
            <w:r>
              <w:rPr/>
              <w:t xml:space="preserve">5.29</w:t>
            </w:r>
          </w:p>
        </w:tc>
        <w:tc>
          <w:tcPr>
            <w:tcW w:type="dxa" w:w="1430"/>
          </w:tcPr>
          <w:p>
            <w:pPr>
              <w:keepNext/>
            </w:pPr>
            <w:r>
              <w:rPr/>
              <w:t xml:space="preserve">21.6</w:t>
            </w:r>
          </w:p>
        </w:tc>
      </w:tr>
      <w:tr>
        <w:tc>
          <w:tcPr>
            <w:tcW w:type="dxa" w:w="1250"/>
          </w:tcPr>
          <w:p>
            <w:pPr>
              <w:keepNext/>
            </w:pPr>
            <w:r>
              <w:rPr>
                <w:b/>
              </w:rPr>
              <w:t xml:space="preserve">III-20</w:t>
            </w:r>
          </w:p>
        </w:tc>
        <w:tc>
          <w:tcPr>
            <w:tcW w:type="dxa" w:w="1100"/>
          </w:tcPr>
          <w:p>
            <w:pPr>
              <w:keepNext/>
            </w:pPr>
            <w:r>
              <w:rPr/>
              <w:t xml:space="preserve">12.8</w:t>
            </w:r>
          </w:p>
        </w:tc>
        <w:tc>
          <w:tcPr>
            <w:tcW w:type="dxa" w:w="1100"/>
          </w:tcPr>
          <w:p>
            <w:pPr>
              <w:keepNext/>
            </w:pPr>
            <w:r>
              <w:rPr/>
              <w:t xml:space="preserve">36.9</w:t>
            </w:r>
          </w:p>
        </w:tc>
        <w:tc>
          <w:tcPr>
            <w:tcW w:type="dxa" w:w="1100"/>
          </w:tcPr>
          <w:p>
            <w:pPr>
              <w:keepNext/>
            </w:pPr>
            <w:r>
              <w:rPr/>
              <w:t xml:space="preserve">39.9</w:t>
            </w:r>
          </w:p>
        </w:tc>
        <w:tc>
          <w:tcPr>
            <w:tcW w:type="dxa" w:w="1100"/>
          </w:tcPr>
          <w:p>
            <w:pPr>
              <w:keepNext/>
            </w:pPr>
            <w:r>
              <w:rPr/>
              <w:t xml:space="preserve">20.0%</w:t>
            </w:r>
          </w:p>
        </w:tc>
        <w:tc>
          <w:tcPr>
            <w:tcW w:type="dxa" w:w="1100"/>
          </w:tcPr>
          <w:p>
            <w:pPr>
              <w:keepNext/>
            </w:pPr>
            <w:r>
              <w:rPr/>
              <w:t xml:space="preserve">4.25</w:t>
            </w:r>
          </w:p>
        </w:tc>
        <w:tc>
          <w:tcPr>
            <w:tcW w:type="dxa" w:w="1180"/>
          </w:tcPr>
          <w:p>
            <w:pPr>
              <w:keepNext/>
            </w:pPr>
            <w:r>
              <w:rPr/>
              <w:t xml:space="preserve">4.55</w:t>
            </w:r>
          </w:p>
        </w:tc>
        <w:tc>
          <w:tcPr>
            <w:tcW w:type="dxa" w:w="1430"/>
          </w:tcPr>
          <w:p>
            <w:pPr>
              <w:keepNext/>
            </w:pPr>
            <w:r>
              <w:rPr/>
              <w:t xml:space="preserve">19.0</w:t>
            </w:r>
          </w:p>
        </w:tc>
      </w:tr>
      <w:tr>
        <w:tc>
          <w:tcPr>
            <w:tcW w:type="dxa" w:w="1250"/>
          </w:tcPr>
          <w:p>
            <w:pPr/>
            <w:r>
              <w:rPr>
                <w:b/>
              </w:rPr>
              <w:t xml:space="preserve">IV-20</w:t>
            </w:r>
          </w:p>
        </w:tc>
        <w:tc>
          <w:tcPr>
            <w:tcW w:type="dxa" w:w="1100"/>
          </w:tcPr>
          <w:p>
            <w:pPr/>
            <w:r>
              <w:rPr/>
              <w:t xml:space="preserve">13.6</w:t>
            </w:r>
          </w:p>
        </w:tc>
        <w:tc>
          <w:tcPr>
            <w:tcW w:type="dxa" w:w="1100"/>
          </w:tcPr>
          <w:p>
            <w:pPr/>
            <w:r>
              <w:rPr/>
              <w:t xml:space="preserve">39.7</w:t>
            </w:r>
          </w:p>
        </w:tc>
        <w:tc>
          <w:tcPr>
            <w:tcW w:type="dxa" w:w="1100"/>
          </w:tcPr>
          <w:p>
            <w:pPr/>
            <w:r>
              <w:rPr/>
              <w:t xml:space="preserve">44.7</w:t>
            </w:r>
          </w:p>
        </w:tc>
        <w:tc>
          <w:tcPr>
            <w:tcW w:type="dxa" w:w="1100"/>
          </w:tcPr>
          <w:p>
            <w:pPr/>
            <w:r>
              <w:rPr/>
              <w:t xml:space="preserve">8.1%</w:t>
            </w:r>
          </w:p>
        </w:tc>
        <w:tc>
          <w:tcPr>
            <w:tcW w:type="dxa" w:w="1100"/>
          </w:tcPr>
          <w:p>
            <w:pPr/>
            <w:r>
              <w:rPr/>
              <w:t xml:space="preserve">4.25</w:t>
            </w:r>
          </w:p>
        </w:tc>
        <w:tc>
          <w:tcPr>
            <w:tcW w:type="dxa" w:w="1180"/>
          </w:tcPr>
          <w:p>
            <w:pPr/>
            <w:r>
              <w:rPr/>
              <w:t xml:space="preserve">4.48</w:t>
            </w:r>
          </w:p>
        </w:tc>
        <w:tc>
          <w:tcPr>
            <w:tcW w:type="dxa" w:w="1430"/>
          </w:tcPr>
          <w:p>
            <w:pPr/>
            <w:r>
              <w:rPr/>
              <w:t xml:space="preserve">16.8</w:t>
            </w:r>
          </w:p>
        </w:tc>
      </w:tr>
    </w:tbl>
    <w:p>
      <w:pPr>
        <w:keepNext/>
        <w:spacing w:before="160"/>
      </w:pPr>
      <w:r>
        <w:rPr>
          <w:b/>
        </w:rPr>
        <w:t xml:space="preserve">2026 trimestre por trimestre. </w:t>
      </w:r>
      <w:r>
        <w:rPr/>
        <w:t xml:space="preserve">III-26 se publica el 19 de noviembre de 2026; ya se conocen la tasa objetivo y la TIIE.</w:t>
      </w:r>
    </w:p>
    <w:tbl>
      <w:tblPr>
        <w:tblStyle w:val="Tablaconcuadrcula"/>
        <w:tblW w:w="9360" w:type="dxa"/>
        <w:tblLayout w:type="fixed"/>
        <w:tblLook w:val="0420" w:firstRow="1" w:lastRow="0" w:firstColumn="0" w:lastColumn="0" w:noHBand="0" w:noVBand="1"/>
      </w:tblPr>
      <w:tblGrid>
        <w:gridCol w:w="3960"/>
        <w:gridCol w:w="1800"/>
        <w:gridCol w:w="1800"/>
        <w:gridCol w:w="1800"/>
      </w:tblGrid>
      <w:tr>
        <w:trPr>
          <w:tblHeader/>
        </w:trPr>
        <w:tc>
          <w:tcPr>
            <w:tcW w:type="dxa" w:w="3960"/>
            <w:shd w:val="clear" w:color="auto" w:fill="F2F2F2"/>
          </w:tcPr>
          <w:p>
            <w:pPr>
              <w:keepNext/>
            </w:pPr>
            <w:r>
              <w:rPr/>
              <w:t xml:space="preserve">Indicador</w:t>
            </w:r>
          </w:p>
        </w:tc>
        <w:tc>
          <w:tcPr>
            <w:tcW w:type="dxa" w:w="1800"/>
            <w:shd w:val="clear" w:color="auto" w:fill="F2F2F2"/>
          </w:tcPr>
          <w:p>
            <w:pPr>
              <w:keepNext/>
            </w:pPr>
            <w:r>
              <w:rPr/>
              <w:t xml:space="preserve">I-26</w:t>
            </w:r>
          </w:p>
        </w:tc>
        <w:tc>
          <w:tcPr>
            <w:tcW w:type="dxa" w:w="1800"/>
            <w:shd w:val="clear" w:color="auto" w:fill="F2F2F2"/>
          </w:tcPr>
          <w:p>
            <w:pPr>
              <w:keepNext/>
            </w:pPr>
            <w:r>
              <w:rPr/>
              <w:t xml:space="preserve">II-26</w:t>
            </w:r>
          </w:p>
        </w:tc>
        <w:tc>
          <w:tcPr>
            <w:tcW w:type="dxa" w:w="1800"/>
            <w:shd w:val="clear" w:color="auto" w:fill="F2F2F2"/>
          </w:tcPr>
          <w:p>
            <w:pPr>
              <w:keepNext/>
            </w:pPr>
            <w:r>
              <w:rPr/>
              <w:t xml:space="preserve">III-26</w:t>
            </w:r>
          </w:p>
        </w:tc>
      </w:tr>
      <w:tr>
        <w:tc>
          <w:tcPr>
            <w:tcW w:type="dxa" w:w="3960"/>
          </w:tcPr>
          <w:p>
            <w:pPr>
              <w:keepNext/>
            </w:pPr>
            <w:r>
              <w:rPr/>
              <w:t xml:space="preserve">Usaron crédito nuevo (%)</w:t>
            </w:r>
          </w:p>
        </w:tc>
        <w:tc>
          <w:tcPr>
            <w:tcW w:type="dxa" w:w="1800"/>
          </w:tcPr>
          <w:p>
            <w:pPr>
              <w:keepNext/>
            </w:pPr>
            <w:r>
              <w:rPr/>
              <w:t xml:space="preserve">13.1</w:t>
            </w:r>
          </w:p>
        </w:tc>
        <w:tc>
          <w:tcPr>
            <w:tcW w:type="dxa" w:w="1800"/>
          </w:tcPr>
          <w:p>
            <w:pPr>
              <w:keepNext/>
            </w:pPr>
            <w:r>
              <w:rPr/>
              <w:t xml:space="preserve">11.2</w:t>
            </w:r>
          </w:p>
        </w:tc>
        <w:tc>
          <w:tcPr>
            <w:tcW w:type="dxa" w:w="1800"/>
          </w:tcPr>
          <w:p>
            <w:pPr>
              <w:keepNext/>
            </w:pPr>
            <w:r>
              <w:rPr/>
              <w:t xml:space="preserve">pendiente</w:t>
            </w:r>
          </w:p>
        </w:tc>
      </w:tr>
      <w:tr>
        <w:tc>
          <w:tcPr>
            <w:tcW w:type="dxa" w:w="3960"/>
          </w:tcPr>
          <w:p>
            <w:pPr>
              <w:keepNext/>
            </w:pPr>
            <w:r>
              <w:rPr/>
              <w:t xml:space="preserve">   Hasta 100 empleados (%)</w:t>
            </w:r>
          </w:p>
        </w:tc>
        <w:tc>
          <w:tcPr>
            <w:tcW w:type="dxa" w:w="1800"/>
          </w:tcPr>
          <w:p>
            <w:pPr>
              <w:keepNext/>
            </w:pPr>
            <w:r>
              <w:rPr/>
              <w:t xml:space="preserve">12.1</w:t>
            </w:r>
          </w:p>
        </w:tc>
        <w:tc>
          <w:tcPr>
            <w:tcW w:type="dxa" w:w="1800"/>
          </w:tcPr>
          <w:p>
            <w:pPr>
              <w:keepNext/>
            </w:pPr>
            <w:r>
              <w:rPr/>
              <w:t xml:space="preserve">9.9</w:t>
            </w:r>
          </w:p>
        </w:tc>
        <w:tc>
          <w:tcPr>
            <w:tcW w:type="dxa" w:w="1800"/>
          </w:tcPr>
          <w:p>
            <w:pPr>
              <w:keepNext/>
            </w:pPr>
            <w:r>
              <w:rPr/>
              <w:t xml:space="preserve">pendiente</w:t>
            </w:r>
          </w:p>
        </w:tc>
      </w:tr>
      <w:tr>
        <w:tc>
          <w:tcPr>
            <w:tcW w:type="dxa" w:w="3960"/>
          </w:tcPr>
          <w:p>
            <w:pPr>
              <w:keepNext/>
            </w:pPr>
            <w:r>
              <w:rPr/>
              <w:t xml:space="preserve">   Más de 100 empleados (%)</w:t>
            </w:r>
          </w:p>
        </w:tc>
        <w:tc>
          <w:tcPr>
            <w:tcW w:type="dxa" w:w="1800"/>
          </w:tcPr>
          <w:p>
            <w:pPr>
              <w:keepNext/>
            </w:pPr>
            <w:r>
              <w:rPr/>
              <w:t xml:space="preserve">20.4</w:t>
            </w:r>
          </w:p>
        </w:tc>
        <w:tc>
          <w:tcPr>
            <w:tcW w:type="dxa" w:w="1800"/>
          </w:tcPr>
          <w:p>
            <w:pPr>
              <w:keepNext/>
            </w:pPr>
            <w:r>
              <w:rPr/>
              <w:t xml:space="preserve">21.6</w:t>
            </w:r>
          </w:p>
        </w:tc>
        <w:tc>
          <w:tcPr>
            <w:tcW w:type="dxa" w:w="1800"/>
          </w:tcPr>
          <w:p>
            <w:pPr>
              <w:keepNext/>
            </w:pPr>
            <w:r>
              <w:rPr/>
              <w:t xml:space="preserve">pendiente</w:t>
            </w:r>
          </w:p>
        </w:tc>
      </w:tr>
      <w:tr>
        <w:tc>
          <w:tcPr>
            <w:tcW w:type="dxa" w:w="3960"/>
          </w:tcPr>
          <w:p>
            <w:pPr>
              <w:keepNext/>
            </w:pPr>
            <w:r>
              <w:rPr/>
              <w:t xml:space="preserve">Con crédito al inicio (%)</w:t>
            </w:r>
          </w:p>
        </w:tc>
        <w:tc>
          <w:tcPr>
            <w:tcW w:type="dxa" w:w="1800"/>
          </w:tcPr>
          <w:p>
            <w:pPr>
              <w:keepNext/>
            </w:pPr>
            <w:r>
              <w:rPr/>
              <w:t xml:space="preserve">37.0</w:t>
            </w:r>
          </w:p>
        </w:tc>
        <w:tc>
          <w:tcPr>
            <w:tcW w:type="dxa" w:w="1800"/>
          </w:tcPr>
          <w:p>
            <w:pPr>
              <w:keepNext/>
            </w:pPr>
            <w:r>
              <w:rPr/>
              <w:t xml:space="preserve">37.3</w:t>
            </w:r>
          </w:p>
        </w:tc>
        <w:tc>
          <w:tcPr>
            <w:tcW w:type="dxa" w:w="1800"/>
          </w:tcPr>
          <w:p>
            <w:pPr>
              <w:keepNext/>
            </w:pPr>
            <w:r>
              <w:rPr/>
              <w:t xml:space="preserve">pendiente</w:t>
            </w:r>
          </w:p>
        </w:tc>
      </w:tr>
      <w:tr>
        <w:tc>
          <w:tcPr>
            <w:tcW w:type="dxa" w:w="3960"/>
          </w:tcPr>
          <w:p>
            <w:pPr>
              <w:keepNext/>
            </w:pPr>
            <w:r>
              <w:rPr/>
              <w:t xml:space="preserve">Tasa de rechazo</w:t>
            </w:r>
          </w:p>
        </w:tc>
        <w:tc>
          <w:tcPr>
            <w:tcW w:type="dxa" w:w="1800"/>
          </w:tcPr>
          <w:p>
            <w:pPr>
              <w:keepNext/>
            </w:pPr>
            <w:r>
              <w:rPr/>
              <w:t xml:space="preserve">22.5%</w:t>
            </w:r>
          </w:p>
        </w:tc>
        <w:tc>
          <w:tcPr>
            <w:tcW w:type="dxa" w:w="1800"/>
          </w:tcPr>
          <w:p>
            <w:pPr>
              <w:keepNext/>
            </w:pPr>
            <w:r>
              <w:rPr/>
              <w:t xml:space="preserve">24.3%</w:t>
            </w:r>
          </w:p>
        </w:tc>
        <w:tc>
          <w:tcPr>
            <w:tcW w:type="dxa" w:w="1800"/>
          </w:tcPr>
          <w:p>
            <w:pPr>
              <w:keepNext/>
            </w:pPr>
            <w:r>
              <w:rPr/>
              <w:t xml:space="preserve">pendiente</w:t>
            </w:r>
          </w:p>
        </w:tc>
      </w:tr>
      <w:tr>
        <w:tc>
          <w:tcPr>
            <w:tcW w:type="dxa" w:w="3960"/>
          </w:tcPr>
          <w:p>
            <w:pPr>
              <w:keepNext/>
            </w:pPr>
            <w:r>
              <w:rPr/>
              <w:t xml:space="preserve">   Hasta 100 empleados</w:t>
            </w:r>
          </w:p>
        </w:tc>
        <w:tc>
          <w:tcPr>
            <w:tcW w:type="dxa" w:w="1800"/>
          </w:tcPr>
          <w:p>
            <w:pPr>
              <w:keepNext/>
            </w:pPr>
            <w:r>
              <w:rPr/>
              <w:t xml:space="preserve">n.d.</w:t>
            </w:r>
          </w:p>
        </w:tc>
        <w:tc>
          <w:tcPr>
            <w:tcW w:type="dxa" w:w="1800"/>
          </w:tcPr>
          <w:p>
            <w:pPr>
              <w:keepNext/>
            </w:pPr>
            <w:r>
              <w:rPr/>
              <w:t xml:space="preserve">28.3%</w:t>
            </w:r>
          </w:p>
        </w:tc>
        <w:tc>
          <w:tcPr>
            <w:tcW w:type="dxa" w:w="1800"/>
          </w:tcPr>
          <w:p>
            <w:pPr>
              <w:keepNext/>
            </w:pPr>
            <w:r>
              <w:rPr/>
              <w:t xml:space="preserve">pendiente</w:t>
            </w:r>
          </w:p>
        </w:tc>
      </w:tr>
      <w:tr>
        <w:tc>
          <w:tcPr>
            <w:tcW w:type="dxa" w:w="3960"/>
          </w:tcPr>
          <w:p>
            <w:pPr>
              <w:keepNext/>
            </w:pPr>
            <w:r>
              <w:rPr/>
              <w:t xml:space="preserve">   Más de 100 empleados</w:t>
            </w:r>
          </w:p>
        </w:tc>
        <w:tc>
          <w:tcPr>
            <w:tcW w:type="dxa" w:w="1800"/>
          </w:tcPr>
          <w:p>
            <w:pPr>
              <w:keepNext/>
            </w:pPr>
            <w:r>
              <w:rPr/>
              <w:t xml:space="preserve">n.d.</w:t>
            </w:r>
          </w:p>
        </w:tc>
        <w:tc>
          <w:tcPr>
            <w:tcW w:type="dxa" w:w="1800"/>
          </w:tcPr>
          <w:p>
            <w:pPr>
              <w:keepNext/>
            </w:pPr>
            <w:r>
              <w:rPr/>
              <w:t xml:space="preserve">3.1%</w:t>
            </w:r>
          </w:p>
        </w:tc>
        <w:tc>
          <w:tcPr>
            <w:tcW w:type="dxa" w:w="1800"/>
          </w:tcPr>
          <w:p>
            <w:pPr>
              <w:keepNext/>
            </w:pPr>
            <w:r>
              <w:rPr/>
              <w:t xml:space="preserve">pendiente</w:t>
            </w:r>
          </w:p>
        </w:tc>
      </w:tr>
      <w:tr>
        <w:tc>
          <w:tcPr>
            <w:tcW w:type="dxa" w:w="3960"/>
          </w:tcPr>
          <w:p>
            <w:pPr>
              <w:keepNext/>
            </w:pPr>
            <w:r>
              <w:rPr/>
              <w:t xml:space="preserve">Índice de tasas de interés</w:t>
            </w:r>
          </w:p>
        </w:tc>
        <w:tc>
          <w:tcPr>
            <w:tcW w:type="dxa" w:w="1800"/>
          </w:tcPr>
          <w:p>
            <w:pPr>
              <w:keepNext/>
            </w:pPr>
            <w:r>
              <w:rPr/>
              <w:t xml:space="preserve">44.9</w:t>
            </w:r>
          </w:p>
        </w:tc>
        <w:tc>
          <w:tcPr>
            <w:tcW w:type="dxa" w:w="1800"/>
          </w:tcPr>
          <w:p>
            <w:pPr>
              <w:keepNext/>
            </w:pPr>
            <w:r>
              <w:rPr/>
              <w:t xml:space="preserve">39.4</w:t>
            </w:r>
          </w:p>
        </w:tc>
        <w:tc>
          <w:tcPr>
            <w:tcW w:type="dxa" w:w="1800"/>
          </w:tcPr>
          <w:p>
            <w:pPr>
              <w:keepNext/>
            </w:pPr>
            <w:r>
              <w:rPr/>
              <w:t xml:space="preserve">pendiente</w:t>
            </w:r>
          </w:p>
        </w:tc>
      </w:tr>
      <w:tr>
        <w:tc>
          <w:tcPr>
            <w:tcW w:type="dxa" w:w="3960"/>
          </w:tcPr>
          <w:p>
            <w:pPr>
              <w:keepNext/>
            </w:pPr>
            <w:r>
              <w:rPr/>
              <w:t xml:space="preserve">Banca comercial como fuente (%)</w:t>
            </w:r>
          </w:p>
        </w:tc>
        <w:tc>
          <w:tcPr>
            <w:tcW w:type="dxa" w:w="1800"/>
          </w:tcPr>
          <w:p>
            <w:pPr>
              <w:keepNext/>
            </w:pPr>
            <w:r>
              <w:rPr/>
              <w:t xml:space="preserve">25.0</w:t>
            </w:r>
          </w:p>
        </w:tc>
        <w:tc>
          <w:tcPr>
            <w:tcW w:type="dxa" w:w="1800"/>
          </w:tcPr>
          <w:p>
            <w:pPr>
              <w:keepNext/>
            </w:pPr>
            <w:r>
              <w:rPr/>
              <w:t xml:space="preserve">24.5</w:t>
            </w:r>
          </w:p>
        </w:tc>
        <w:tc>
          <w:tcPr>
            <w:tcW w:type="dxa" w:w="1800"/>
          </w:tcPr>
          <w:p>
            <w:pPr>
              <w:keepNext/>
            </w:pPr>
            <w:r>
              <w:rPr/>
              <w:t xml:space="preserve">pendiente</w:t>
            </w:r>
          </w:p>
        </w:tc>
      </w:tr>
      <w:tr>
        <w:tc>
          <w:tcPr>
            <w:tcW w:type="dxa" w:w="3960"/>
          </w:tcPr>
          <w:p>
            <w:pPr>
              <w:keepNext/>
            </w:pPr>
            <w:r>
              <w:rPr/>
              <w:t xml:space="preserve">Tasa objetivo fin de trimestre (%)</w:t>
            </w:r>
          </w:p>
        </w:tc>
        <w:tc>
          <w:tcPr>
            <w:tcW w:type="dxa" w:w="1800"/>
          </w:tcPr>
          <w:p>
            <w:pPr>
              <w:keepNext/>
            </w:pPr>
            <w:r>
              <w:rPr/>
              <w:t xml:space="preserve">6.75</w:t>
            </w:r>
          </w:p>
        </w:tc>
        <w:tc>
          <w:tcPr>
            <w:tcW w:type="dxa" w:w="1800"/>
          </w:tcPr>
          <w:p>
            <w:pPr>
              <w:keepNext/>
            </w:pPr>
            <w:r>
              <w:rPr/>
              <w:t xml:space="preserve">6.50</w:t>
            </w:r>
          </w:p>
        </w:tc>
        <w:tc>
          <w:tcPr>
            <w:tcW w:type="dxa" w:w="1800"/>
          </w:tcPr>
          <w:p>
            <w:pPr>
              <w:keepNext/>
            </w:pPr>
            <w:r>
              <w:rPr/>
              <w:t xml:space="preserve">6.50</w:t>
            </w:r>
          </w:p>
        </w:tc>
      </w:tr>
      <w:tr>
        <w:tc>
          <w:tcPr>
            <w:tcW w:type="dxa" w:w="3960"/>
          </w:tcPr>
          <w:p>
            <w:pPr/>
            <w:r>
              <w:rPr/>
              <w:t xml:space="preserve">TIIE 28 días al cierre (%)</w:t>
            </w:r>
          </w:p>
        </w:tc>
        <w:tc>
          <w:tcPr>
            <w:tcW w:type="dxa" w:w="1800"/>
          </w:tcPr>
          <w:p>
            <w:pPr/>
            <w:r>
              <w:rPr/>
              <w:t xml:space="preserve">7.03</w:t>
            </w:r>
          </w:p>
        </w:tc>
        <w:tc>
          <w:tcPr>
            <w:tcW w:type="dxa" w:w="1800"/>
          </w:tcPr>
          <w:p>
            <w:pPr/>
            <w:r>
              <w:rPr/>
              <w:t xml:space="preserve">6.76</w:t>
            </w:r>
          </w:p>
        </w:tc>
        <w:tc>
          <w:tcPr>
            <w:tcW w:type="dxa" w:w="1800"/>
          </w:tcPr>
          <w:p>
            <w:pPr/>
            <w:r>
              <w:rPr/>
              <w:t xml:space="preserve">6.82</w:t>
            </w:r>
          </w:p>
        </w:tc>
      </w:tr>
    </w:tbl>
    <w:p>
      <w:pPr>
        <w:pStyle w:val="Prrafodelista"/>
        <w:numPr>
          <w:ilvl w:val="0"/>
          <w:numId w:val="4"/>
        </w:numPr>
        <w:spacing w:before="160"/>
      </w:pPr>
      <w:r>
        <w:rPr>
          <w:b/>
        </w:rPr>
        <w:t xml:space="preserve">El saldo no se mueve. </w:t>
      </w:r>
      <w:r>
        <w:rPr/>
        <w:t xml:space="preserve">Las empresas con crédito bancario al inicio del trimestre oscilan entre 35.8% y 41.9% sin tendencia; hoy son 37.3%. Lo que se contrae es la nueva originación.</w:t>
      </w:r>
    </w:p>
    <w:p>
      <w:pPr>
        <w:pStyle w:val="Prrafodelista"/>
        <w:numPr>
          <w:ilvl w:val="0"/>
          <w:numId w:val="4"/>
        </w:numPr>
      </w:pPr>
      <w:r>
        <w:rPr>
          <w:b/>
        </w:rPr>
        <w:t xml:space="preserve">Ruido trimestral. </w:t>
      </w:r>
      <w:r>
        <w:rPr/>
        <w:t xml:space="preserve">Con unas 650 respuestas, el error de muestreo de un trimestre es de ±2.6 pp (95%, muestreo simple) y mayor con el diseño real. Un salto de un trimestre a otro no dice mucho por sí solo.</w:t>
      </w:r>
    </w:p>
    <w:p>
      <w:pPr>
        <w:pStyle w:val="Prrafodelista"/>
        <w:numPr>
          <w:ilvl w:val="0"/>
          <w:numId w:val="4"/>
        </w:numPr>
      </w:pPr>
      <w:r>
        <w:rPr>
          <w:b/>
        </w:rPr>
        <w:t xml:space="preserve">Tendencia sí. </w:t>
      </w:r>
      <w:r>
        <w:rPr/>
        <w:t xml:space="preserve">La diferencia entre 2023 (15.4%) y el primer semestre de 2026 (12.2%) es de 3.2 pp. Supera el error de promedios anuales (±2.2 pp combinado), aunque con poco margen si el efecto de diseño es alto.</w:t>
      </w:r>
    </w:p>
    <w:p>
      <w:pPr>
        <w:pStyle w:val="Prrafodelista"/>
        <w:numPr>
          <w:ilvl w:val="0"/>
          <w:numId w:val="4"/>
        </w:numPr>
      </w:pPr>
      <w:r>
        <w:rPr>
          <w:b/>
        </w:rPr>
        <w:t xml:space="preserve">Casi nadie busca crédito. </w:t>
      </w:r>
      <w:r>
        <w:rPr/>
        <w:t xml:space="preserve">Entre 77.7% y 86.3% de las empresas no solicita crédito bancario cada trimestre; en II-26 fue 82.1%.</w:t>
      </w:r>
    </w:p>
    <w:p>
      <w:pPr>
        <w:pStyle w:val="Ttulo2"/>
        <w:keepNext/>
      </w:pPr>
      <w:r>
        <w:rPr/>
        <w:t xml:space="preserve">Brecha por tamaño: las pequeñas explican la caída</w:t>
      </w:r>
    </w:p>
    <w:p>
      <w:pPr/>
      <w:r>
        <w:rPr/>
        <w:t xml:space="preserve">Las empresas de más de 100 empleados sostienen su acceso; las de 11 a 100 son las que se retiran del crédito bancario. Banxico no separa pequeñas y medianas: su corte es hasta 100 empleados (pequeñas y parte de las medianas) y más de 100 (resto de las medianas y las grandes).</w:t>
      </w:r>
    </w:p>
    <w:p>
      <w:pPr>
        <w:keepNext/>
        <w:jc w:val="center"/>
      </w:pPr>
      <w:r>
        <w:drawing>
          <wp:inline xmlns:a="http://schemas.openxmlformats.org/drawingml/2006/main" xmlns:pic="http://schemas.openxmlformats.org/drawingml/2006/picture">
            <wp:extent cx="5486400" cy="2779776"/>
            <wp:docPr id="3" name="Picture 3" descr="Pymes vs grandes, con crédito y crédito nuevo, con tendencia"/>
            <wp:cNvGraphicFramePr>
              <a:graphicFrameLocks noChangeAspect="1"/>
            </wp:cNvGraphicFramePr>
            <a:graphic>
              <a:graphicData uri="http://schemas.openxmlformats.org/drawingml/2006/picture">
                <pic:pic>
                  <pic:nvPicPr>
                    <pic:cNvPr id="0" name="g3_tamano_tendencia.png" descr="Pymes vs grandes, con crédito y crédito nuevo, con tendencia"/>
                    <pic:cNvPicPr/>
                  </pic:nvPicPr>
                  <pic:blipFill>
                    <a:blip r:embed="rId26"/>
                    <a:stretch>
                      <a:fillRect/>
                    </a:stretch>
                  </pic:blipFill>
                  <pic:spPr>
                    <a:xfrm>
                      <a:off x="0" y="0"/>
                      <a:ext cx="5486400" cy="2779776"/>
                    </a:xfrm>
                    <a:prstGeom prst="rect"/>
                  </pic:spPr>
                </pic:pic>
              </a:graphicData>
            </a:graphic>
          </wp:inline>
        </w:drawing>
      </w:r>
    </w:p>
    <w:p>
      <w:pPr/>
      <w:r>
        <w:rPr>
          <w:b/>
          <w:sz w:val="18"/>
        </w:rPr>
        <w:t xml:space="preserve">Gráfica 3 · Fuente: </w:t>
      </w:r>
      <w:r>
        <w:rPr>
          <w:sz w:val="18"/>
        </w:rPr>
        <w:t xml:space="preserve">Banxico, SIE y comunicados, diseño vigente I-2020 a II-2026; el crédito nuevo por tamaño no tiene los III trimestres. Datos: Excel, hojas Series y Por tamaño.</w:t>
      </w:r>
    </w:p>
    <w:p>
      <w:pPr>
        <w:keepNext/>
      </w:pPr>
      <w:r>
        <w:rPr>
          <w:b/>
        </w:rPr>
        <w:t xml:space="preserve">Cuadro 1. Gran empresa (más de 100 empleados), promedio anual</w:t>
      </w:r>
    </w:p>
    <w:tbl>
      <w:tblPr>
        <w:tblStyle w:val="Tablaconcuadrcula"/>
        <w:tblW w:w="9360" w:type="dxa"/>
        <w:tblLayout w:type="fixed"/>
        <w:tblLook w:val="0420" w:firstRow="1" w:lastRow="0" w:firstColumn="0" w:lastColumn="0" w:noHBand="0" w:noVBand="1"/>
      </w:tblPr>
      <w:tblGrid>
        <w:gridCol w:w="2000"/>
        <w:gridCol w:w="2460"/>
        <w:gridCol w:w="2460"/>
        <w:gridCol w:w="2440"/>
      </w:tblGrid>
      <w:tr>
        <w:trPr>
          <w:tblHeader/>
        </w:trPr>
        <w:tc>
          <w:tcPr>
            <w:tcW w:type="dxa" w:w="2000"/>
            <w:shd w:val="clear" w:color="auto" w:fill="F2F2F2"/>
          </w:tcPr>
          <w:p>
            <w:pPr>
              <w:keepNext/>
            </w:pPr>
            <w:r>
              <w:rPr/>
              <w:t xml:space="preserve">Año</w:t>
            </w:r>
          </w:p>
        </w:tc>
        <w:tc>
          <w:tcPr>
            <w:tcW w:type="dxa" w:w="2460"/>
            <w:shd w:val="clear" w:color="auto" w:fill="F2F2F2"/>
          </w:tcPr>
          <w:p>
            <w:pPr>
              <w:keepNext/>
            </w:pPr>
            <w:r>
              <w:rPr/>
              <w:t xml:space="preserve">Con crédito al inicio (%)</w:t>
            </w:r>
          </w:p>
        </w:tc>
        <w:tc>
          <w:tcPr>
            <w:tcW w:type="dxa" w:w="2460"/>
            <w:shd w:val="clear" w:color="auto" w:fill="F2F2F2"/>
          </w:tcPr>
          <w:p>
            <w:pPr>
              <w:keepNext/>
            </w:pPr>
            <w:r>
              <w:rPr/>
              <w:t xml:space="preserve">Usaron crédito nuevo (%)</w:t>
            </w:r>
          </w:p>
        </w:tc>
        <w:tc>
          <w:tcPr>
            <w:tcW w:type="dxa" w:w="2440"/>
            <w:shd w:val="clear" w:color="auto" w:fill="F2F2F2"/>
          </w:tcPr>
          <w:p>
            <w:pPr>
              <w:keepNext/>
            </w:pPr>
            <w:r>
              <w:rPr/>
              <w:t xml:space="preserve">Trimestres con dato de crédito nuevo</w:t>
            </w:r>
          </w:p>
        </w:tc>
      </w:tr>
      <w:tr>
        <w:tc>
          <w:tcPr>
            <w:tcW w:type="dxa" w:w="2000"/>
          </w:tcPr>
          <w:p>
            <w:pPr>
              <w:keepNext/>
            </w:pPr>
            <w:r>
              <w:rPr>
                <w:b/>
              </w:rPr>
              <w:t xml:space="preserve">2020</w:t>
            </w:r>
          </w:p>
        </w:tc>
        <w:tc>
          <w:tcPr>
            <w:tcW w:type="dxa" w:w="2460"/>
          </w:tcPr>
          <w:p>
            <w:pPr>
              <w:keepNext/>
            </w:pPr>
            <w:r>
              <w:rPr/>
              <w:t xml:space="preserve">52.9</w:t>
            </w:r>
          </w:p>
        </w:tc>
        <w:tc>
          <w:tcPr>
            <w:tcW w:type="dxa" w:w="2460"/>
          </w:tcPr>
          <w:p>
            <w:pPr>
              <w:keepNext/>
            </w:pPr>
            <w:r>
              <w:rPr/>
              <w:t xml:space="preserve">27.3</w:t>
            </w:r>
          </w:p>
        </w:tc>
        <w:tc>
          <w:tcPr>
            <w:tcW w:type="dxa" w:w="2440"/>
          </w:tcPr>
          <w:p>
            <w:pPr>
              <w:keepNext/>
            </w:pPr>
            <w:r>
              <w:rPr/>
              <w:t xml:space="preserve">3</w:t>
            </w:r>
          </w:p>
        </w:tc>
      </w:tr>
      <w:tr>
        <w:tc>
          <w:tcPr>
            <w:tcW w:type="dxa" w:w="2000"/>
          </w:tcPr>
          <w:p>
            <w:pPr>
              <w:keepNext/>
            </w:pPr>
            <w:r>
              <w:rPr>
                <w:b/>
              </w:rPr>
              <w:t xml:space="preserve">2021</w:t>
            </w:r>
          </w:p>
        </w:tc>
        <w:tc>
          <w:tcPr>
            <w:tcW w:type="dxa" w:w="2460"/>
          </w:tcPr>
          <w:p>
            <w:pPr>
              <w:keepNext/>
            </w:pPr>
            <w:r>
              <w:rPr/>
              <w:t xml:space="preserve">51.8</w:t>
            </w:r>
          </w:p>
        </w:tc>
        <w:tc>
          <w:tcPr>
            <w:tcW w:type="dxa" w:w="2460"/>
          </w:tcPr>
          <w:p>
            <w:pPr>
              <w:keepNext/>
            </w:pPr>
            <w:r>
              <w:rPr/>
              <w:t xml:space="preserve">23.7</w:t>
            </w:r>
          </w:p>
        </w:tc>
        <w:tc>
          <w:tcPr>
            <w:tcW w:type="dxa" w:w="2440"/>
          </w:tcPr>
          <w:p>
            <w:pPr>
              <w:keepNext/>
            </w:pPr>
            <w:r>
              <w:rPr/>
              <w:t xml:space="preserve">3</w:t>
            </w:r>
          </w:p>
        </w:tc>
      </w:tr>
      <w:tr>
        <w:tc>
          <w:tcPr>
            <w:tcW w:type="dxa" w:w="2000"/>
          </w:tcPr>
          <w:p>
            <w:pPr>
              <w:keepNext/>
            </w:pPr>
            <w:r>
              <w:rPr>
                <w:b/>
              </w:rPr>
              <w:t xml:space="preserve">2022</w:t>
            </w:r>
          </w:p>
        </w:tc>
        <w:tc>
          <w:tcPr>
            <w:tcW w:type="dxa" w:w="2460"/>
          </w:tcPr>
          <w:p>
            <w:pPr>
              <w:keepNext/>
            </w:pPr>
            <w:r>
              <w:rPr/>
              <w:t xml:space="preserve">45.9</w:t>
            </w:r>
          </w:p>
        </w:tc>
        <w:tc>
          <w:tcPr>
            <w:tcW w:type="dxa" w:w="2460"/>
          </w:tcPr>
          <w:p>
            <w:pPr>
              <w:keepNext/>
            </w:pPr>
            <w:r>
              <w:rPr/>
              <w:t xml:space="preserve">23.0</w:t>
            </w:r>
          </w:p>
        </w:tc>
        <w:tc>
          <w:tcPr>
            <w:tcW w:type="dxa" w:w="2440"/>
          </w:tcPr>
          <w:p>
            <w:pPr>
              <w:keepNext/>
            </w:pPr>
            <w:r>
              <w:rPr/>
              <w:t xml:space="preserve">3</w:t>
            </w:r>
          </w:p>
        </w:tc>
      </w:tr>
      <w:tr>
        <w:tc>
          <w:tcPr>
            <w:tcW w:type="dxa" w:w="2000"/>
          </w:tcPr>
          <w:p>
            <w:pPr>
              <w:keepNext/>
            </w:pPr>
            <w:r>
              <w:rPr>
                <w:b/>
              </w:rPr>
              <w:t xml:space="preserve">2023</w:t>
            </w:r>
          </w:p>
        </w:tc>
        <w:tc>
          <w:tcPr>
            <w:tcW w:type="dxa" w:w="2460"/>
          </w:tcPr>
          <w:p>
            <w:pPr>
              <w:keepNext/>
            </w:pPr>
            <w:r>
              <w:rPr/>
              <w:t xml:space="preserve">43.7</w:t>
            </w:r>
          </w:p>
        </w:tc>
        <w:tc>
          <w:tcPr>
            <w:tcW w:type="dxa" w:w="2460"/>
          </w:tcPr>
          <w:p>
            <w:pPr>
              <w:keepNext/>
            </w:pPr>
            <w:r>
              <w:rPr/>
              <w:t xml:space="preserve">20.0</w:t>
            </w:r>
          </w:p>
        </w:tc>
        <w:tc>
          <w:tcPr>
            <w:tcW w:type="dxa" w:w="2440"/>
          </w:tcPr>
          <w:p>
            <w:pPr>
              <w:keepNext/>
            </w:pPr>
            <w:r>
              <w:rPr/>
              <w:t xml:space="preserve">3</w:t>
            </w:r>
          </w:p>
        </w:tc>
      </w:tr>
      <w:tr>
        <w:tc>
          <w:tcPr>
            <w:tcW w:type="dxa" w:w="2000"/>
          </w:tcPr>
          <w:p>
            <w:pPr>
              <w:keepNext/>
            </w:pPr>
            <w:r>
              <w:rPr>
                <w:b/>
              </w:rPr>
              <w:t xml:space="preserve">2024</w:t>
            </w:r>
          </w:p>
        </w:tc>
        <w:tc>
          <w:tcPr>
            <w:tcW w:type="dxa" w:w="2460"/>
          </w:tcPr>
          <w:p>
            <w:pPr>
              <w:keepNext/>
            </w:pPr>
            <w:r>
              <w:rPr/>
              <w:t xml:space="preserve">47.1</w:t>
            </w:r>
          </w:p>
        </w:tc>
        <w:tc>
          <w:tcPr>
            <w:tcW w:type="dxa" w:w="2460"/>
          </w:tcPr>
          <w:p>
            <w:pPr>
              <w:keepNext/>
            </w:pPr>
            <w:r>
              <w:rPr/>
              <w:t xml:space="preserve">21.3</w:t>
            </w:r>
          </w:p>
        </w:tc>
        <w:tc>
          <w:tcPr>
            <w:tcW w:type="dxa" w:w="2440"/>
          </w:tcPr>
          <w:p>
            <w:pPr>
              <w:keepNext/>
            </w:pPr>
            <w:r>
              <w:rPr/>
              <w:t xml:space="preserve">3</w:t>
            </w:r>
          </w:p>
        </w:tc>
      </w:tr>
      <w:tr>
        <w:tc>
          <w:tcPr>
            <w:tcW w:type="dxa" w:w="2000"/>
          </w:tcPr>
          <w:p>
            <w:pPr>
              <w:keepNext/>
            </w:pPr>
            <w:r>
              <w:rPr>
                <w:b/>
              </w:rPr>
              <w:t xml:space="preserve">2025</w:t>
            </w:r>
          </w:p>
        </w:tc>
        <w:tc>
          <w:tcPr>
            <w:tcW w:type="dxa" w:w="2460"/>
          </w:tcPr>
          <w:p>
            <w:pPr>
              <w:keepNext/>
            </w:pPr>
            <w:r>
              <w:rPr/>
              <w:t xml:space="preserve">46.4</w:t>
            </w:r>
          </w:p>
        </w:tc>
        <w:tc>
          <w:tcPr>
            <w:tcW w:type="dxa" w:w="2460"/>
          </w:tcPr>
          <w:p>
            <w:pPr>
              <w:keepNext/>
            </w:pPr>
            <w:r>
              <w:rPr/>
              <w:t xml:space="preserve">22.4</w:t>
            </w:r>
          </w:p>
        </w:tc>
        <w:tc>
          <w:tcPr>
            <w:tcW w:type="dxa" w:w="2440"/>
          </w:tcPr>
          <w:p>
            <w:pPr>
              <w:keepNext/>
            </w:pPr>
            <w:r>
              <w:rPr/>
              <w:t xml:space="preserve">3</w:t>
            </w:r>
          </w:p>
        </w:tc>
      </w:tr>
      <w:tr>
        <w:tc>
          <w:tcPr>
            <w:tcW w:type="dxa" w:w="2000"/>
          </w:tcPr>
          <w:p>
            <w:pPr/>
            <w:r>
              <w:rPr>
                <w:b/>
              </w:rPr>
              <w:t xml:space="preserve">2026 (I y II)</w:t>
            </w:r>
          </w:p>
        </w:tc>
        <w:tc>
          <w:tcPr>
            <w:tcW w:type="dxa" w:w="2460"/>
          </w:tcPr>
          <w:p>
            <w:pPr/>
            <w:r>
              <w:rPr/>
              <w:t xml:space="preserve">48.1</w:t>
            </w:r>
          </w:p>
        </w:tc>
        <w:tc>
          <w:tcPr>
            <w:tcW w:type="dxa" w:w="2460"/>
          </w:tcPr>
          <w:p>
            <w:pPr/>
            <w:r>
              <w:rPr/>
              <w:t xml:space="preserve">21.0</w:t>
            </w:r>
          </w:p>
        </w:tc>
        <w:tc>
          <w:tcPr>
            <w:tcW w:type="dxa" w:w="2440"/>
          </w:tcPr>
          <w:p>
            <w:pPr/>
            <w:r>
              <w:rPr/>
              <w:t xml:space="preserve">2</w:t>
            </w:r>
          </w:p>
        </w:tc>
      </w:tr>
    </w:tbl>
    <w:p>
      <w:pPr>
        <w:keepNext/>
        <w:spacing w:before="160"/>
      </w:pPr>
      <w:r>
        <w:rPr>
          <w:b/>
        </w:rPr>
        <w:t xml:space="preserve">Cuadro 2. Pequeñas y medianas (11 a 100 empleados), promedio anual</w:t>
      </w:r>
    </w:p>
    <w:tbl>
      <w:tblPr>
        <w:tblStyle w:val="Tablaconcuadrcula"/>
        <w:tblW w:w="9360" w:type="dxa"/>
        <w:tblLayout w:type="fixed"/>
        <w:tblLook w:val="0420" w:firstRow="1" w:lastRow="0" w:firstColumn="0" w:lastColumn="0" w:noHBand="0" w:noVBand="1"/>
      </w:tblPr>
      <w:tblGrid>
        <w:gridCol w:w="2000"/>
        <w:gridCol w:w="2460"/>
        <w:gridCol w:w="2460"/>
        <w:gridCol w:w="2440"/>
      </w:tblGrid>
      <w:tr>
        <w:trPr>
          <w:tblHeader/>
        </w:trPr>
        <w:tc>
          <w:tcPr>
            <w:tcW w:type="dxa" w:w="2000"/>
            <w:shd w:val="clear" w:color="auto" w:fill="F2F2F2"/>
          </w:tcPr>
          <w:p>
            <w:pPr>
              <w:keepNext/>
            </w:pPr>
            <w:r>
              <w:rPr/>
              <w:t xml:space="preserve">Año</w:t>
            </w:r>
          </w:p>
        </w:tc>
        <w:tc>
          <w:tcPr>
            <w:tcW w:type="dxa" w:w="2460"/>
            <w:shd w:val="clear" w:color="auto" w:fill="F2F2F2"/>
          </w:tcPr>
          <w:p>
            <w:pPr>
              <w:keepNext/>
            </w:pPr>
            <w:r>
              <w:rPr/>
              <w:t xml:space="preserve">Con crédito al inicio (%)</w:t>
            </w:r>
          </w:p>
        </w:tc>
        <w:tc>
          <w:tcPr>
            <w:tcW w:type="dxa" w:w="2460"/>
            <w:shd w:val="clear" w:color="auto" w:fill="F2F2F2"/>
          </w:tcPr>
          <w:p>
            <w:pPr>
              <w:keepNext/>
            </w:pPr>
            <w:r>
              <w:rPr/>
              <w:t xml:space="preserve">Usaron crédito nuevo (%)</w:t>
            </w:r>
          </w:p>
        </w:tc>
        <w:tc>
          <w:tcPr>
            <w:tcW w:type="dxa" w:w="2440"/>
            <w:shd w:val="clear" w:color="auto" w:fill="F2F2F2"/>
          </w:tcPr>
          <w:p>
            <w:pPr>
              <w:keepNext/>
            </w:pPr>
            <w:r>
              <w:rPr/>
              <w:t xml:space="preserve">Trimestres con dato de crédito nuevo</w:t>
            </w:r>
          </w:p>
        </w:tc>
      </w:tr>
      <w:tr>
        <w:tc>
          <w:tcPr>
            <w:tcW w:type="dxa" w:w="2000"/>
          </w:tcPr>
          <w:p>
            <w:pPr>
              <w:keepNext/>
            </w:pPr>
            <w:r>
              <w:rPr>
                <w:b/>
              </w:rPr>
              <w:t xml:space="preserve">2020</w:t>
            </w:r>
          </w:p>
        </w:tc>
        <w:tc>
          <w:tcPr>
            <w:tcW w:type="dxa" w:w="2460"/>
          </w:tcPr>
          <w:p>
            <w:pPr>
              <w:keepNext/>
            </w:pPr>
            <w:r>
              <w:rPr/>
              <w:t xml:space="preserve">36.4</w:t>
            </w:r>
          </w:p>
        </w:tc>
        <w:tc>
          <w:tcPr>
            <w:tcW w:type="dxa" w:w="2460"/>
          </w:tcPr>
          <w:p>
            <w:pPr>
              <w:keepNext/>
            </w:pPr>
            <w:r>
              <w:rPr/>
              <w:t xml:space="preserve">11.1</w:t>
            </w:r>
          </w:p>
        </w:tc>
        <w:tc>
          <w:tcPr>
            <w:tcW w:type="dxa" w:w="2440"/>
          </w:tcPr>
          <w:p>
            <w:pPr>
              <w:keepNext/>
            </w:pPr>
            <w:r>
              <w:rPr/>
              <w:t xml:space="preserve">3</w:t>
            </w:r>
          </w:p>
        </w:tc>
      </w:tr>
      <w:tr>
        <w:tc>
          <w:tcPr>
            <w:tcW w:type="dxa" w:w="2000"/>
          </w:tcPr>
          <w:p>
            <w:pPr>
              <w:keepNext/>
            </w:pPr>
            <w:r>
              <w:rPr>
                <w:b/>
              </w:rPr>
              <w:t xml:space="preserve">2021</w:t>
            </w:r>
          </w:p>
        </w:tc>
        <w:tc>
          <w:tcPr>
            <w:tcW w:type="dxa" w:w="2460"/>
          </w:tcPr>
          <w:p>
            <w:pPr>
              <w:keepNext/>
            </w:pPr>
            <w:r>
              <w:rPr/>
              <w:t xml:space="preserve">35.9</w:t>
            </w:r>
          </w:p>
        </w:tc>
        <w:tc>
          <w:tcPr>
            <w:tcW w:type="dxa" w:w="2460"/>
          </w:tcPr>
          <w:p>
            <w:pPr>
              <w:keepNext/>
            </w:pPr>
            <w:r>
              <w:rPr/>
              <w:t xml:space="preserve">10.3</w:t>
            </w:r>
          </w:p>
        </w:tc>
        <w:tc>
          <w:tcPr>
            <w:tcW w:type="dxa" w:w="2440"/>
          </w:tcPr>
          <w:p>
            <w:pPr>
              <w:keepNext/>
            </w:pPr>
            <w:r>
              <w:rPr/>
              <w:t xml:space="preserve">3</w:t>
            </w:r>
          </w:p>
        </w:tc>
      </w:tr>
      <w:tr>
        <w:tc>
          <w:tcPr>
            <w:tcW w:type="dxa" w:w="2000"/>
          </w:tcPr>
          <w:p>
            <w:pPr>
              <w:keepNext/>
            </w:pPr>
            <w:r>
              <w:rPr>
                <w:b/>
              </w:rPr>
              <w:t xml:space="preserve">2022</w:t>
            </w:r>
          </w:p>
        </w:tc>
        <w:tc>
          <w:tcPr>
            <w:tcW w:type="dxa" w:w="2460"/>
          </w:tcPr>
          <w:p>
            <w:pPr>
              <w:keepNext/>
            </w:pPr>
            <w:r>
              <w:rPr/>
              <w:t xml:space="preserve">38.4</w:t>
            </w:r>
          </w:p>
        </w:tc>
        <w:tc>
          <w:tcPr>
            <w:tcW w:type="dxa" w:w="2460"/>
          </w:tcPr>
          <w:p>
            <w:pPr>
              <w:keepNext/>
            </w:pPr>
            <w:r>
              <w:rPr/>
              <w:t xml:space="preserve">13.9</w:t>
            </w:r>
          </w:p>
        </w:tc>
        <w:tc>
          <w:tcPr>
            <w:tcW w:type="dxa" w:w="2440"/>
          </w:tcPr>
          <w:p>
            <w:pPr>
              <w:keepNext/>
            </w:pPr>
            <w:r>
              <w:rPr/>
              <w:t xml:space="preserve">3</w:t>
            </w:r>
          </w:p>
        </w:tc>
      </w:tr>
      <w:tr>
        <w:tc>
          <w:tcPr>
            <w:tcW w:type="dxa" w:w="2000"/>
          </w:tcPr>
          <w:p>
            <w:pPr>
              <w:keepNext/>
            </w:pPr>
            <w:r>
              <w:rPr>
                <w:b/>
              </w:rPr>
              <w:t xml:space="preserve">2023</w:t>
            </w:r>
          </w:p>
        </w:tc>
        <w:tc>
          <w:tcPr>
            <w:tcW w:type="dxa" w:w="2460"/>
          </w:tcPr>
          <w:p>
            <w:pPr>
              <w:keepNext/>
            </w:pPr>
            <w:r>
              <w:rPr/>
              <w:t xml:space="preserve">37.0</w:t>
            </w:r>
          </w:p>
        </w:tc>
        <w:tc>
          <w:tcPr>
            <w:tcW w:type="dxa" w:w="2460"/>
          </w:tcPr>
          <w:p>
            <w:pPr>
              <w:keepNext/>
            </w:pPr>
            <w:r>
              <w:rPr/>
              <w:t xml:space="preserve">14.9</w:t>
            </w:r>
          </w:p>
        </w:tc>
        <w:tc>
          <w:tcPr>
            <w:tcW w:type="dxa" w:w="2440"/>
          </w:tcPr>
          <w:p>
            <w:pPr>
              <w:keepNext/>
            </w:pPr>
            <w:r>
              <w:rPr/>
              <w:t xml:space="preserve">3</w:t>
            </w:r>
          </w:p>
        </w:tc>
      </w:tr>
      <w:tr>
        <w:tc>
          <w:tcPr>
            <w:tcW w:type="dxa" w:w="2000"/>
          </w:tcPr>
          <w:p>
            <w:pPr>
              <w:keepNext/>
            </w:pPr>
            <w:r>
              <w:rPr>
                <w:b/>
              </w:rPr>
              <w:t xml:space="preserve">2024</w:t>
            </w:r>
          </w:p>
        </w:tc>
        <w:tc>
          <w:tcPr>
            <w:tcW w:type="dxa" w:w="2460"/>
          </w:tcPr>
          <w:p>
            <w:pPr>
              <w:keepNext/>
            </w:pPr>
            <w:r>
              <w:rPr/>
              <w:t xml:space="preserve">37.9</w:t>
            </w:r>
          </w:p>
        </w:tc>
        <w:tc>
          <w:tcPr>
            <w:tcW w:type="dxa" w:w="2460"/>
          </w:tcPr>
          <w:p>
            <w:pPr>
              <w:keepNext/>
            </w:pPr>
            <w:r>
              <w:rPr/>
              <w:t xml:space="preserve">12.8</w:t>
            </w:r>
          </w:p>
        </w:tc>
        <w:tc>
          <w:tcPr>
            <w:tcW w:type="dxa" w:w="2440"/>
          </w:tcPr>
          <w:p>
            <w:pPr>
              <w:keepNext/>
            </w:pPr>
            <w:r>
              <w:rPr/>
              <w:t xml:space="preserve">3</w:t>
            </w:r>
          </w:p>
        </w:tc>
      </w:tr>
      <w:tr>
        <w:tc>
          <w:tcPr>
            <w:tcW w:type="dxa" w:w="2000"/>
          </w:tcPr>
          <w:p>
            <w:pPr>
              <w:keepNext/>
            </w:pPr>
            <w:r>
              <w:rPr>
                <w:b/>
              </w:rPr>
              <w:t xml:space="preserve">2025</w:t>
            </w:r>
          </w:p>
        </w:tc>
        <w:tc>
          <w:tcPr>
            <w:tcW w:type="dxa" w:w="2460"/>
          </w:tcPr>
          <w:p>
            <w:pPr>
              <w:keepNext/>
            </w:pPr>
            <w:r>
              <w:rPr/>
              <w:t xml:space="preserve">36.1</w:t>
            </w:r>
          </w:p>
        </w:tc>
        <w:tc>
          <w:tcPr>
            <w:tcW w:type="dxa" w:w="2460"/>
          </w:tcPr>
          <w:p>
            <w:pPr>
              <w:keepNext/>
            </w:pPr>
            <w:r>
              <w:rPr/>
              <w:t xml:space="preserve">13.5</w:t>
            </w:r>
          </w:p>
        </w:tc>
        <w:tc>
          <w:tcPr>
            <w:tcW w:type="dxa" w:w="2440"/>
          </w:tcPr>
          <w:p>
            <w:pPr>
              <w:keepNext/>
            </w:pPr>
            <w:r>
              <w:rPr/>
              <w:t xml:space="preserve">3</w:t>
            </w:r>
          </w:p>
        </w:tc>
      </w:tr>
      <w:tr>
        <w:tc>
          <w:tcPr>
            <w:tcW w:type="dxa" w:w="2000"/>
          </w:tcPr>
          <w:p>
            <w:pPr/>
            <w:r>
              <w:rPr>
                <w:b/>
              </w:rPr>
              <w:t xml:space="preserve">2026 (I y II)</w:t>
            </w:r>
          </w:p>
        </w:tc>
        <w:tc>
          <w:tcPr>
            <w:tcW w:type="dxa" w:w="2460"/>
          </w:tcPr>
          <w:p>
            <w:pPr/>
            <w:r>
              <w:rPr/>
              <w:t xml:space="preserve">35.8</w:t>
            </w:r>
          </w:p>
        </w:tc>
        <w:tc>
          <w:tcPr>
            <w:tcW w:type="dxa" w:w="2460"/>
          </w:tcPr>
          <w:p>
            <w:pPr/>
            <w:r>
              <w:rPr/>
              <w:t xml:space="preserve">11.0</w:t>
            </w:r>
          </w:p>
        </w:tc>
        <w:tc>
          <w:tcPr>
            <w:tcW w:type="dxa" w:w="2440"/>
          </w:tcPr>
          <w:p>
            <w:pPr/>
            <w:r>
              <w:rPr/>
              <w:t xml:space="preserve">2</w:t>
            </w:r>
          </w:p>
        </w:tc>
      </w:tr>
    </w:tbl>
    <w:p>
      <w:pPr>
        <w:keepNext/>
        <w:spacing w:before="160"/>
      </w:pPr>
      <w:r>
        <w:rPr>
          <w:b/>
        </w:rPr>
        <w:t xml:space="preserve">Cuadro 3. II trimestre de cada año, pymes y grandes. </w:t>
      </w:r>
      <w:r>
        <w:rPr/>
        <w:t xml:space="preserve">Es el único trimestre con todas las variables por tamaño; compararlo año contra año evita el efecto de temporada.</w:t>
      </w:r>
    </w:p>
    <w:tbl>
      <w:tblPr>
        <w:tblStyle w:val="Tablaconcuadrcula"/>
        <w:tblW w:w="9360" w:type="dxa"/>
        <w:tblLayout w:type="fixed"/>
        <w:tblLook w:val="0420" w:firstRow="1" w:lastRow="0" w:firstColumn="0" w:lastColumn="0" w:noHBand="0" w:noVBand="1"/>
      </w:tblPr>
      <w:tblGrid>
        <w:gridCol w:w="880"/>
        <w:gridCol w:w="1060"/>
        <w:gridCol w:w="1060"/>
        <w:gridCol w:w="1060"/>
        <w:gridCol w:w="1060"/>
        <w:gridCol w:w="1060"/>
        <w:gridCol w:w="1060"/>
        <w:gridCol w:w="1060"/>
        <w:gridCol w:w="1060"/>
      </w:tblGrid>
      <w:tr>
        <w:trPr>
          <w:tblHeader/>
        </w:trPr>
        <w:tc>
          <w:tcPr>
            <w:tcW w:type="dxa" w:w="880"/>
            <w:shd w:val="clear" w:color="auto" w:fill="F2F2F2"/>
          </w:tcPr>
          <w:p>
            <w:pPr>
              <w:keepNext/>
            </w:pPr>
            <w:r>
              <w:rPr>
                <w:sz w:val="18"/>
              </w:rPr>
              <w:t xml:space="preserve">Trim.</w:t>
            </w:r>
          </w:p>
        </w:tc>
        <w:tc>
          <w:tcPr>
            <w:tcW w:type="dxa" w:w="1060"/>
            <w:shd w:val="clear" w:color="auto" w:fill="F2F2F2"/>
          </w:tcPr>
          <w:p>
            <w:pPr>
              <w:keepNext/>
            </w:pPr>
            <w:r>
              <w:rPr>
                <w:sz w:val="18"/>
              </w:rPr>
              <w:t xml:space="preserve">Pymes: crédito nuevo (%)</w:t>
            </w:r>
          </w:p>
        </w:tc>
        <w:tc>
          <w:tcPr>
            <w:tcW w:type="dxa" w:w="1060"/>
            <w:shd w:val="clear" w:color="auto" w:fill="F2F2F2"/>
          </w:tcPr>
          <w:p>
            <w:pPr>
              <w:keepNext/>
            </w:pPr>
            <w:r>
              <w:rPr>
                <w:sz w:val="18"/>
              </w:rPr>
              <w:t xml:space="preserve">Pymes: rechazo</w:t>
            </w:r>
          </w:p>
        </w:tc>
        <w:tc>
          <w:tcPr>
            <w:tcW w:type="dxa" w:w="1060"/>
            <w:shd w:val="clear" w:color="auto" w:fill="F2F2F2"/>
          </w:tcPr>
          <w:p>
            <w:pPr>
              <w:keepNext/>
            </w:pPr>
            <w:r>
              <w:rPr>
                <w:sz w:val="18"/>
              </w:rPr>
              <w:t xml:space="preserve">Pymes: índice de tasas</w:t>
            </w:r>
          </w:p>
        </w:tc>
        <w:tc>
          <w:tcPr>
            <w:tcW w:type="dxa" w:w="1060"/>
            <w:shd w:val="clear" w:color="auto" w:fill="F2F2F2"/>
          </w:tcPr>
          <w:p>
            <w:pPr>
              <w:keepNext/>
            </w:pPr>
            <w:r>
              <w:rPr>
                <w:sz w:val="18"/>
              </w:rPr>
              <w:t xml:space="preserve">Pymes: banca comercial (%)</w:t>
            </w:r>
          </w:p>
        </w:tc>
        <w:tc>
          <w:tcPr>
            <w:tcW w:type="dxa" w:w="1060"/>
            <w:shd w:val="clear" w:color="auto" w:fill="F2F2F2"/>
          </w:tcPr>
          <w:p>
            <w:pPr>
              <w:keepNext/>
            </w:pPr>
            <w:r>
              <w:rPr>
                <w:sz w:val="18"/>
              </w:rPr>
              <w:t xml:space="preserve">Grandes: crédito nuevo (%)</w:t>
            </w:r>
          </w:p>
        </w:tc>
        <w:tc>
          <w:tcPr>
            <w:tcW w:type="dxa" w:w="1060"/>
            <w:shd w:val="clear" w:color="auto" w:fill="F2F2F2"/>
          </w:tcPr>
          <w:p>
            <w:pPr>
              <w:keepNext/>
            </w:pPr>
            <w:r>
              <w:rPr>
                <w:sz w:val="18"/>
              </w:rPr>
              <w:t xml:space="preserve">Grandes: rechazo</w:t>
            </w:r>
          </w:p>
        </w:tc>
        <w:tc>
          <w:tcPr>
            <w:tcW w:type="dxa" w:w="1060"/>
            <w:shd w:val="clear" w:color="auto" w:fill="F2F2F2"/>
          </w:tcPr>
          <w:p>
            <w:pPr>
              <w:keepNext/>
            </w:pPr>
            <w:r>
              <w:rPr>
                <w:sz w:val="18"/>
              </w:rPr>
              <w:t xml:space="preserve">Grandes: índice de tasas</w:t>
            </w:r>
          </w:p>
        </w:tc>
        <w:tc>
          <w:tcPr>
            <w:tcW w:type="dxa" w:w="1060"/>
            <w:shd w:val="clear" w:color="auto" w:fill="F2F2F2"/>
          </w:tcPr>
          <w:p>
            <w:pPr>
              <w:keepNext/>
            </w:pPr>
            <w:r>
              <w:rPr>
                <w:sz w:val="18"/>
              </w:rPr>
              <w:t xml:space="preserve">Grandes: banca comercial (%)</w:t>
            </w:r>
          </w:p>
        </w:tc>
      </w:tr>
      <w:tr>
        <w:tc>
          <w:tcPr>
            <w:tcW w:type="dxa" w:w="880"/>
          </w:tcPr>
          <w:p>
            <w:pPr>
              <w:keepNext/>
            </w:pPr>
            <w:r>
              <w:rPr>
                <w:b/>
                <w:sz w:val="18"/>
              </w:rPr>
              <w:t xml:space="preserve">II-20</w:t>
            </w:r>
          </w:p>
        </w:tc>
        <w:tc>
          <w:tcPr>
            <w:tcW w:type="dxa" w:w="1060"/>
          </w:tcPr>
          <w:p>
            <w:pPr>
              <w:keepNext/>
            </w:pPr>
            <w:r>
              <w:rPr>
                <w:sz w:val="18"/>
              </w:rPr>
              <w:t xml:space="preserve">8.0</w:t>
            </w:r>
          </w:p>
        </w:tc>
        <w:tc>
          <w:tcPr>
            <w:tcW w:type="dxa" w:w="1060"/>
          </w:tcPr>
          <w:p>
            <w:pPr>
              <w:keepNext/>
            </w:pPr>
            <w:r>
              <w:rPr>
                <w:sz w:val="18"/>
              </w:rPr>
              <w:t xml:space="preserve">33.3%</w:t>
            </w:r>
          </w:p>
        </w:tc>
        <w:tc>
          <w:tcPr>
            <w:tcW w:type="dxa" w:w="1060"/>
          </w:tcPr>
          <w:p>
            <w:pPr>
              <w:keepNext/>
            </w:pPr>
            <w:r>
              <w:rPr>
                <w:sz w:val="18"/>
              </w:rPr>
              <w:t xml:space="preserve">36.0</w:t>
            </w:r>
          </w:p>
        </w:tc>
        <w:tc>
          <w:tcPr>
            <w:tcW w:type="dxa" w:w="1060"/>
          </w:tcPr>
          <w:p>
            <w:pPr>
              <w:keepNext/>
            </w:pPr>
            <w:r>
              <w:rPr>
                <w:sz w:val="18"/>
              </w:rPr>
              <w:t xml:space="preserve">17.7</w:t>
            </w:r>
          </w:p>
        </w:tc>
        <w:tc>
          <w:tcPr>
            <w:tcW w:type="dxa" w:w="1060"/>
          </w:tcPr>
          <w:p>
            <w:pPr>
              <w:keepNext/>
            </w:pPr>
            <w:r>
              <w:rPr>
                <w:sz w:val="18"/>
              </w:rPr>
              <w:t xml:space="preserve">30.6</w:t>
            </w:r>
          </w:p>
        </w:tc>
        <w:tc>
          <w:tcPr>
            <w:tcW w:type="dxa" w:w="1060"/>
          </w:tcPr>
          <w:p>
            <w:pPr>
              <w:keepNext/>
            </w:pPr>
            <w:r>
              <w:rPr>
                <w:sz w:val="18"/>
              </w:rPr>
              <w:t xml:space="preserve">2.9%</w:t>
            </w:r>
          </w:p>
        </w:tc>
        <w:tc>
          <w:tcPr>
            <w:tcW w:type="dxa" w:w="1060"/>
          </w:tcPr>
          <w:p>
            <w:pPr>
              <w:keepNext/>
            </w:pPr>
            <w:r>
              <w:rPr>
                <w:sz w:val="18"/>
              </w:rPr>
              <w:t xml:space="preserve">38.6</w:t>
            </w:r>
          </w:p>
        </w:tc>
        <w:tc>
          <w:tcPr>
            <w:tcW w:type="dxa" w:w="1060"/>
          </w:tcPr>
          <w:p>
            <w:pPr>
              <w:keepNext/>
            </w:pPr>
            <w:r>
              <w:rPr>
                <w:sz w:val="18"/>
              </w:rPr>
              <w:t xml:space="preserve">38.8</w:t>
            </w:r>
          </w:p>
        </w:tc>
      </w:tr>
      <w:tr>
        <w:tc>
          <w:tcPr>
            <w:tcW w:type="dxa" w:w="880"/>
          </w:tcPr>
          <w:p>
            <w:pPr>
              <w:keepNext/>
            </w:pPr>
            <w:r>
              <w:rPr>
                <w:b/>
                <w:sz w:val="18"/>
              </w:rPr>
              <w:t xml:space="preserve">II-21</w:t>
            </w:r>
          </w:p>
        </w:tc>
        <w:tc>
          <w:tcPr>
            <w:tcW w:type="dxa" w:w="1060"/>
          </w:tcPr>
          <w:p>
            <w:pPr>
              <w:keepNext/>
            </w:pPr>
            <w:r>
              <w:rPr>
                <w:sz w:val="18"/>
              </w:rPr>
              <w:t xml:space="preserve">9.5</w:t>
            </w:r>
          </w:p>
        </w:tc>
        <w:tc>
          <w:tcPr>
            <w:tcW w:type="dxa" w:w="1060"/>
          </w:tcPr>
          <w:p>
            <w:pPr>
              <w:keepNext/>
            </w:pPr>
            <w:r>
              <w:rPr>
                <w:sz w:val="18"/>
              </w:rPr>
              <w:t xml:space="preserve">32.6%</w:t>
            </w:r>
          </w:p>
        </w:tc>
        <w:tc>
          <w:tcPr>
            <w:tcW w:type="dxa" w:w="1060"/>
          </w:tcPr>
          <w:p>
            <w:pPr>
              <w:keepNext/>
            </w:pPr>
            <w:r>
              <w:rPr>
                <w:sz w:val="18"/>
              </w:rPr>
              <w:t xml:space="preserve">31.8</w:t>
            </w:r>
          </w:p>
        </w:tc>
        <w:tc>
          <w:tcPr>
            <w:tcW w:type="dxa" w:w="1060"/>
          </w:tcPr>
          <w:p>
            <w:pPr>
              <w:keepNext/>
            </w:pPr>
            <w:r>
              <w:rPr>
                <w:sz w:val="18"/>
              </w:rPr>
              <w:t xml:space="preserve">24.4</w:t>
            </w:r>
          </w:p>
        </w:tc>
        <w:tc>
          <w:tcPr>
            <w:tcW w:type="dxa" w:w="1060"/>
          </w:tcPr>
          <w:p>
            <w:pPr>
              <w:keepNext/>
            </w:pPr>
            <w:r>
              <w:rPr>
                <w:sz w:val="18"/>
              </w:rPr>
              <w:t xml:space="preserve">22.9</w:t>
            </w:r>
          </w:p>
        </w:tc>
        <w:tc>
          <w:tcPr>
            <w:tcW w:type="dxa" w:w="1060"/>
          </w:tcPr>
          <w:p>
            <w:pPr>
              <w:keepNext/>
            </w:pPr>
            <w:r>
              <w:rPr>
                <w:sz w:val="18"/>
              </w:rPr>
              <w:t xml:space="preserve">8.4%</w:t>
            </w:r>
          </w:p>
        </w:tc>
        <w:tc>
          <w:tcPr>
            <w:tcW w:type="dxa" w:w="1060"/>
          </w:tcPr>
          <w:p>
            <w:pPr>
              <w:keepNext/>
            </w:pPr>
            <w:r>
              <w:rPr>
                <w:sz w:val="18"/>
              </w:rPr>
              <w:t xml:space="preserve">35.1</w:t>
            </w:r>
          </w:p>
        </w:tc>
        <w:tc>
          <w:tcPr>
            <w:tcW w:type="dxa" w:w="1060"/>
          </w:tcPr>
          <w:p>
            <w:pPr>
              <w:keepNext/>
            </w:pPr>
            <w:r>
              <w:rPr>
                <w:sz w:val="18"/>
              </w:rPr>
              <w:t xml:space="preserve">38.8</w:t>
            </w:r>
          </w:p>
        </w:tc>
      </w:tr>
      <w:tr>
        <w:tc>
          <w:tcPr>
            <w:tcW w:type="dxa" w:w="880"/>
          </w:tcPr>
          <w:p>
            <w:pPr>
              <w:keepNext/>
            </w:pPr>
            <w:r>
              <w:rPr>
                <w:b/>
                <w:sz w:val="18"/>
              </w:rPr>
              <w:t xml:space="preserve">II-22</w:t>
            </w:r>
          </w:p>
        </w:tc>
        <w:tc>
          <w:tcPr>
            <w:tcW w:type="dxa" w:w="1060"/>
          </w:tcPr>
          <w:p>
            <w:pPr>
              <w:keepNext/>
            </w:pPr>
            <w:r>
              <w:rPr>
                <w:sz w:val="18"/>
              </w:rPr>
              <w:t xml:space="preserve">14.7</w:t>
            </w:r>
          </w:p>
        </w:tc>
        <w:tc>
          <w:tcPr>
            <w:tcW w:type="dxa" w:w="1060"/>
          </w:tcPr>
          <w:p>
            <w:pPr>
              <w:keepNext/>
            </w:pPr>
            <w:r>
              <w:rPr>
                <w:sz w:val="18"/>
              </w:rPr>
              <w:t xml:space="preserve">9.3%</w:t>
            </w:r>
          </w:p>
        </w:tc>
        <w:tc>
          <w:tcPr>
            <w:tcW w:type="dxa" w:w="1060"/>
          </w:tcPr>
          <w:p>
            <w:pPr>
              <w:keepNext/>
            </w:pPr>
            <w:r>
              <w:rPr>
                <w:sz w:val="18"/>
              </w:rPr>
              <w:t xml:space="preserve">9.7</w:t>
            </w:r>
          </w:p>
        </w:tc>
        <w:tc>
          <w:tcPr>
            <w:tcW w:type="dxa" w:w="1060"/>
          </w:tcPr>
          <w:p>
            <w:pPr>
              <w:keepNext/>
            </w:pPr>
            <w:r>
              <w:rPr>
                <w:sz w:val="18"/>
              </w:rPr>
              <w:t xml:space="preserve">26.2</w:t>
            </w:r>
          </w:p>
        </w:tc>
        <w:tc>
          <w:tcPr>
            <w:tcW w:type="dxa" w:w="1060"/>
          </w:tcPr>
          <w:p>
            <w:pPr>
              <w:keepNext/>
            </w:pPr>
            <w:r>
              <w:rPr>
                <w:sz w:val="18"/>
              </w:rPr>
              <w:t xml:space="preserve">24.6</w:t>
            </w:r>
          </w:p>
        </w:tc>
        <w:tc>
          <w:tcPr>
            <w:tcW w:type="dxa" w:w="1060"/>
          </w:tcPr>
          <w:p>
            <w:pPr>
              <w:keepNext/>
            </w:pPr>
            <w:r>
              <w:rPr>
                <w:sz w:val="18"/>
              </w:rPr>
              <w:t xml:space="preserve">7.2%</w:t>
            </w:r>
          </w:p>
        </w:tc>
        <w:tc>
          <w:tcPr>
            <w:tcW w:type="dxa" w:w="1060"/>
          </w:tcPr>
          <w:p>
            <w:pPr>
              <w:keepNext/>
            </w:pPr>
            <w:r>
              <w:rPr>
                <w:sz w:val="18"/>
              </w:rPr>
              <w:t xml:space="preserve">23.2</w:t>
            </w:r>
          </w:p>
        </w:tc>
        <w:tc>
          <w:tcPr>
            <w:tcW w:type="dxa" w:w="1060"/>
          </w:tcPr>
          <w:p>
            <w:pPr>
              <w:keepNext/>
            </w:pPr>
            <w:r>
              <w:rPr>
                <w:sz w:val="18"/>
              </w:rPr>
              <w:t xml:space="preserve">39.5</w:t>
            </w:r>
          </w:p>
        </w:tc>
      </w:tr>
      <w:tr>
        <w:tc>
          <w:tcPr>
            <w:tcW w:type="dxa" w:w="880"/>
          </w:tcPr>
          <w:p>
            <w:pPr>
              <w:keepNext/>
            </w:pPr>
            <w:r>
              <w:rPr>
                <w:b/>
                <w:sz w:val="18"/>
              </w:rPr>
              <w:t xml:space="preserve">II-23</w:t>
            </w:r>
          </w:p>
        </w:tc>
        <w:tc>
          <w:tcPr>
            <w:tcW w:type="dxa" w:w="1060"/>
          </w:tcPr>
          <w:p>
            <w:pPr>
              <w:keepNext/>
            </w:pPr>
            <w:r>
              <w:rPr>
                <w:sz w:val="18"/>
              </w:rPr>
              <w:t xml:space="preserve">14.0</w:t>
            </w:r>
          </w:p>
        </w:tc>
        <w:tc>
          <w:tcPr>
            <w:tcW w:type="dxa" w:w="1060"/>
          </w:tcPr>
          <w:p>
            <w:pPr>
              <w:keepNext/>
            </w:pPr>
            <w:r>
              <w:rPr>
                <w:sz w:val="18"/>
              </w:rPr>
              <w:t xml:space="preserve">4.1%</w:t>
            </w:r>
          </w:p>
        </w:tc>
        <w:tc>
          <w:tcPr>
            <w:tcW w:type="dxa" w:w="1060"/>
          </w:tcPr>
          <w:p>
            <w:pPr>
              <w:keepNext/>
            </w:pPr>
            <w:r>
              <w:rPr>
                <w:sz w:val="18"/>
              </w:rPr>
              <w:t xml:space="preserve">28.0</w:t>
            </w:r>
          </w:p>
        </w:tc>
        <w:tc>
          <w:tcPr>
            <w:tcW w:type="dxa" w:w="1060"/>
          </w:tcPr>
          <w:p>
            <w:pPr>
              <w:keepNext/>
            </w:pPr>
            <w:r>
              <w:rPr>
                <w:sz w:val="18"/>
              </w:rPr>
              <w:t xml:space="preserve">27.7</w:t>
            </w:r>
          </w:p>
        </w:tc>
        <w:tc>
          <w:tcPr>
            <w:tcW w:type="dxa" w:w="1060"/>
          </w:tcPr>
          <w:p>
            <w:pPr>
              <w:keepNext/>
            </w:pPr>
            <w:r>
              <w:rPr>
                <w:sz w:val="18"/>
              </w:rPr>
              <w:t xml:space="preserve">21.6</w:t>
            </w:r>
          </w:p>
        </w:tc>
        <w:tc>
          <w:tcPr>
            <w:tcW w:type="dxa" w:w="1060"/>
          </w:tcPr>
          <w:p>
            <w:pPr>
              <w:keepNext/>
            </w:pPr>
            <w:r>
              <w:rPr>
                <w:sz w:val="18"/>
              </w:rPr>
              <w:t xml:space="preserve">1.4%</w:t>
            </w:r>
          </w:p>
        </w:tc>
        <w:tc>
          <w:tcPr>
            <w:tcW w:type="dxa" w:w="1060"/>
          </w:tcPr>
          <w:p>
            <w:pPr>
              <w:keepNext/>
            </w:pPr>
            <w:r>
              <w:rPr>
                <w:sz w:val="18"/>
              </w:rPr>
              <w:t xml:space="preserve">25.6</w:t>
            </w:r>
          </w:p>
        </w:tc>
        <w:tc>
          <w:tcPr>
            <w:tcW w:type="dxa" w:w="1060"/>
          </w:tcPr>
          <w:p>
            <w:pPr>
              <w:keepNext/>
            </w:pPr>
            <w:r>
              <w:rPr>
                <w:sz w:val="18"/>
              </w:rPr>
              <w:t xml:space="preserve">38.5</w:t>
            </w:r>
          </w:p>
        </w:tc>
      </w:tr>
      <w:tr>
        <w:tc>
          <w:tcPr>
            <w:tcW w:type="dxa" w:w="880"/>
          </w:tcPr>
          <w:p>
            <w:pPr>
              <w:keepNext/>
            </w:pPr>
            <w:r>
              <w:rPr>
                <w:b/>
                <w:sz w:val="18"/>
              </w:rPr>
              <w:t xml:space="preserve">II-24</w:t>
            </w:r>
          </w:p>
        </w:tc>
        <w:tc>
          <w:tcPr>
            <w:tcW w:type="dxa" w:w="1060"/>
          </w:tcPr>
          <w:p>
            <w:pPr>
              <w:keepNext/>
            </w:pPr>
            <w:r>
              <w:rPr>
                <w:sz w:val="18"/>
              </w:rPr>
              <w:t xml:space="preserve">11.2</w:t>
            </w:r>
          </w:p>
        </w:tc>
        <w:tc>
          <w:tcPr>
            <w:tcW w:type="dxa" w:w="1060"/>
          </w:tcPr>
          <w:p>
            <w:pPr>
              <w:keepNext/>
            </w:pPr>
            <w:r>
              <w:rPr>
                <w:sz w:val="18"/>
              </w:rPr>
              <w:t xml:space="preserve">4.3%</w:t>
            </w:r>
          </w:p>
        </w:tc>
        <w:tc>
          <w:tcPr>
            <w:tcW w:type="dxa" w:w="1060"/>
          </w:tcPr>
          <w:p>
            <w:pPr>
              <w:keepNext/>
            </w:pPr>
            <w:r>
              <w:rPr>
                <w:sz w:val="18"/>
              </w:rPr>
              <w:t xml:space="preserve">24.4</w:t>
            </w:r>
          </w:p>
        </w:tc>
        <w:tc>
          <w:tcPr>
            <w:tcW w:type="dxa" w:w="1060"/>
          </w:tcPr>
          <w:p>
            <w:pPr>
              <w:keepNext/>
            </w:pPr>
            <w:r>
              <w:rPr>
                <w:sz w:val="18"/>
              </w:rPr>
              <w:t xml:space="preserve">26.5</w:t>
            </w:r>
          </w:p>
        </w:tc>
        <w:tc>
          <w:tcPr>
            <w:tcW w:type="dxa" w:w="1060"/>
          </w:tcPr>
          <w:p>
            <w:pPr>
              <w:keepNext/>
            </w:pPr>
            <w:r>
              <w:rPr>
                <w:sz w:val="18"/>
              </w:rPr>
              <w:t xml:space="preserve">22.2</w:t>
            </w:r>
          </w:p>
        </w:tc>
        <w:tc>
          <w:tcPr>
            <w:tcW w:type="dxa" w:w="1060"/>
          </w:tcPr>
          <w:p>
            <w:pPr>
              <w:keepNext/>
            </w:pPr>
            <w:r>
              <w:rPr>
                <w:sz w:val="18"/>
              </w:rPr>
              <w:t xml:space="preserve">3.1%</w:t>
            </w:r>
          </w:p>
        </w:tc>
        <w:tc>
          <w:tcPr>
            <w:tcW w:type="dxa" w:w="1060"/>
          </w:tcPr>
          <w:p>
            <w:pPr>
              <w:keepNext/>
            </w:pPr>
            <w:r>
              <w:rPr>
                <w:sz w:val="18"/>
              </w:rPr>
              <w:t xml:space="preserve">42.2</w:t>
            </w:r>
          </w:p>
        </w:tc>
        <w:tc>
          <w:tcPr>
            <w:tcW w:type="dxa" w:w="1060"/>
          </w:tcPr>
          <w:p>
            <w:pPr>
              <w:keepNext/>
            </w:pPr>
            <w:r>
              <w:rPr>
                <w:sz w:val="18"/>
              </w:rPr>
              <w:t xml:space="preserve">36.7</w:t>
            </w:r>
          </w:p>
        </w:tc>
      </w:tr>
      <w:tr>
        <w:tc>
          <w:tcPr>
            <w:tcW w:type="dxa" w:w="880"/>
          </w:tcPr>
          <w:p>
            <w:pPr>
              <w:keepNext/>
            </w:pPr>
            <w:r>
              <w:rPr>
                <w:b/>
                <w:sz w:val="18"/>
              </w:rPr>
              <w:t xml:space="preserve">II-25</w:t>
            </w:r>
          </w:p>
        </w:tc>
        <w:tc>
          <w:tcPr>
            <w:tcW w:type="dxa" w:w="1060"/>
          </w:tcPr>
          <w:p>
            <w:pPr>
              <w:keepNext/>
            </w:pPr>
            <w:r>
              <w:rPr>
                <w:sz w:val="18"/>
              </w:rPr>
              <w:t xml:space="preserve">14.1</w:t>
            </w:r>
          </w:p>
        </w:tc>
        <w:tc>
          <w:tcPr>
            <w:tcW w:type="dxa" w:w="1060"/>
          </w:tcPr>
          <w:p>
            <w:pPr>
              <w:keepNext/>
            </w:pPr>
            <w:r>
              <w:rPr>
                <w:sz w:val="18"/>
              </w:rPr>
              <w:t xml:space="preserve">4.7%</w:t>
            </w:r>
          </w:p>
        </w:tc>
        <w:tc>
          <w:tcPr>
            <w:tcW w:type="dxa" w:w="1060"/>
          </w:tcPr>
          <w:p>
            <w:pPr>
              <w:keepNext/>
            </w:pPr>
            <w:r>
              <w:rPr>
                <w:sz w:val="18"/>
              </w:rPr>
              <w:t xml:space="preserve">44.3</w:t>
            </w:r>
          </w:p>
        </w:tc>
        <w:tc>
          <w:tcPr>
            <w:tcW w:type="dxa" w:w="1060"/>
          </w:tcPr>
          <w:p>
            <w:pPr>
              <w:keepNext/>
            </w:pPr>
            <w:r>
              <w:rPr>
                <w:sz w:val="18"/>
              </w:rPr>
              <w:t xml:space="preserve">28.6</w:t>
            </w:r>
          </w:p>
        </w:tc>
        <w:tc>
          <w:tcPr>
            <w:tcW w:type="dxa" w:w="1060"/>
          </w:tcPr>
          <w:p>
            <w:pPr>
              <w:keepNext/>
            </w:pPr>
            <w:r>
              <w:rPr>
                <w:sz w:val="18"/>
              </w:rPr>
              <w:t xml:space="preserve">21.4</w:t>
            </w:r>
          </w:p>
        </w:tc>
        <w:tc>
          <w:tcPr>
            <w:tcW w:type="dxa" w:w="1060"/>
          </w:tcPr>
          <w:p>
            <w:pPr>
              <w:keepNext/>
            </w:pPr>
            <w:r>
              <w:rPr>
                <w:sz w:val="18"/>
              </w:rPr>
              <w:t xml:space="preserve">7.4%</w:t>
            </w:r>
          </w:p>
        </w:tc>
        <w:tc>
          <w:tcPr>
            <w:tcW w:type="dxa" w:w="1060"/>
          </w:tcPr>
          <w:p>
            <w:pPr>
              <w:keepNext/>
            </w:pPr>
            <w:r>
              <w:rPr>
                <w:sz w:val="18"/>
              </w:rPr>
              <w:t xml:space="preserve">58.8</w:t>
            </w:r>
          </w:p>
        </w:tc>
        <w:tc>
          <w:tcPr>
            <w:tcW w:type="dxa" w:w="1060"/>
          </w:tcPr>
          <w:p>
            <w:pPr>
              <w:keepNext/>
            </w:pPr>
            <w:r>
              <w:rPr>
                <w:sz w:val="18"/>
              </w:rPr>
              <w:t xml:space="preserve">39.7</w:t>
            </w:r>
          </w:p>
        </w:tc>
      </w:tr>
      <w:tr>
        <w:tc>
          <w:tcPr>
            <w:tcW w:type="dxa" w:w="880"/>
          </w:tcPr>
          <w:p>
            <w:pPr/>
            <w:r>
              <w:rPr>
                <w:b/>
                <w:sz w:val="18"/>
              </w:rPr>
              <w:t xml:space="preserve">II-26</w:t>
            </w:r>
          </w:p>
        </w:tc>
        <w:tc>
          <w:tcPr>
            <w:tcW w:type="dxa" w:w="1060"/>
          </w:tcPr>
          <w:p>
            <w:pPr/>
            <w:r>
              <w:rPr>
                <w:sz w:val="18"/>
              </w:rPr>
              <w:t xml:space="preserve">9.9</w:t>
            </w:r>
          </w:p>
        </w:tc>
        <w:tc>
          <w:tcPr>
            <w:tcW w:type="dxa" w:w="1060"/>
          </w:tcPr>
          <w:p>
            <w:pPr/>
            <w:r>
              <w:rPr>
                <w:sz w:val="18"/>
              </w:rPr>
              <w:t xml:space="preserve">28.3%</w:t>
            </w:r>
          </w:p>
        </w:tc>
        <w:tc>
          <w:tcPr>
            <w:tcW w:type="dxa" w:w="1060"/>
          </w:tcPr>
          <w:p>
            <w:pPr/>
            <w:r>
              <w:rPr>
                <w:sz w:val="18"/>
              </w:rPr>
              <w:t xml:space="preserve">35.3</w:t>
            </w:r>
          </w:p>
        </w:tc>
        <w:tc>
          <w:tcPr>
            <w:tcW w:type="dxa" w:w="1060"/>
          </w:tcPr>
          <w:p>
            <w:pPr/>
            <w:r>
              <w:rPr>
                <w:sz w:val="18"/>
              </w:rPr>
              <w:t xml:space="preserve">22.7</w:t>
            </w:r>
          </w:p>
        </w:tc>
        <w:tc>
          <w:tcPr>
            <w:tcW w:type="dxa" w:w="1060"/>
          </w:tcPr>
          <w:p>
            <w:pPr/>
            <w:r>
              <w:rPr>
                <w:sz w:val="18"/>
              </w:rPr>
              <w:t xml:space="preserve">21.6</w:t>
            </w:r>
          </w:p>
        </w:tc>
        <w:tc>
          <w:tcPr>
            <w:tcW w:type="dxa" w:w="1060"/>
          </w:tcPr>
          <w:p>
            <w:pPr/>
            <w:r>
              <w:rPr>
                <w:sz w:val="18"/>
              </w:rPr>
              <w:t xml:space="preserve">3.1%</w:t>
            </w:r>
          </w:p>
        </w:tc>
        <w:tc>
          <w:tcPr>
            <w:tcW w:type="dxa" w:w="1060"/>
          </w:tcPr>
          <w:p>
            <w:pPr/>
            <w:r>
              <w:rPr>
                <w:sz w:val="18"/>
              </w:rPr>
              <w:t xml:space="preserve">53.7</w:t>
            </w:r>
          </w:p>
        </w:tc>
        <w:tc>
          <w:tcPr>
            <w:tcW w:type="dxa" w:w="1060"/>
          </w:tcPr>
          <w:p>
            <w:pPr/>
            <w:r>
              <w:rPr>
                <w:sz w:val="18"/>
              </w:rPr>
              <w:t xml:space="preserve">38.4</w:t>
            </w:r>
          </w:p>
        </w:tc>
      </w:tr>
    </w:tbl>
    <w:p>
      <w:pPr>
        <w:spacing w:before="160"/>
      </w:pPr>
      <w:r>
        <w:rPr>
          <w:sz w:val="18"/>
        </w:rPr>
        <w:t xml:space="preserve">El detalle de los 27 trimestres de ambos tamaños está en la hoja Por tamaño del Excel. Los I, III y IV trimestres de rechazo, índice de tasas y banca comercial por tamaño quedan pendientes (hoja Pendientes).</w:t>
      </w:r>
    </w:p>
    <w:p>
      <w:pPr>
        <w:keepNext/>
        <w:jc w:val="center"/>
      </w:pPr>
      <w:r>
        <w:drawing>
          <wp:inline xmlns:a="http://schemas.openxmlformats.org/drawingml/2006/main" xmlns:pic="http://schemas.openxmlformats.org/drawingml/2006/picture">
            <wp:extent cx="5486400" cy="2560320"/>
            <wp:docPr id="4" name="Picture 4" descr="Brecha por tamaño por año 2020-2026"/>
            <wp:cNvGraphicFramePr>
              <a:graphicFrameLocks noChangeAspect="1"/>
            </wp:cNvGraphicFramePr>
            <a:graphic>
              <a:graphicData uri="http://schemas.openxmlformats.org/drawingml/2006/picture">
                <pic:pic>
                  <pic:nvPicPr>
                    <pic:cNvPr id="0" name="g4_brecha_anual.png" descr="Brecha por tamaño por año 2020-2026"/>
                    <pic:cNvPicPr/>
                  </pic:nvPicPr>
                  <pic:blipFill>
                    <a:blip r:embed="rId27"/>
                    <a:stretch>
                      <a:fillRect/>
                    </a:stretch>
                  </pic:blipFill>
                  <pic:spPr>
                    <a:xfrm>
                      <a:off x="0" y="0"/>
                      <a:ext cx="5486400" cy="2560320"/>
                    </a:xfrm>
                    <a:prstGeom prst="rect"/>
                  </pic:spPr>
                </pic:pic>
              </a:graphicData>
            </a:graphic>
          </wp:inline>
        </w:drawing>
      </w:r>
    </w:p>
    <w:p>
      <w:pPr/>
      <w:r>
        <w:rPr>
          <w:b/>
          <w:sz w:val="18"/>
        </w:rPr>
        <w:t xml:space="preserve">Gráfica 4 · Fuente: </w:t>
      </w:r>
      <w:r>
        <w:rPr>
          <w:sz w:val="18"/>
        </w:rPr>
        <w:t xml:space="preserve">cálculo propio con datos de Banxico (diseño vigente). Brecha = más de 100 menos hasta 100 empleados, promedio de los trimestres con dato. Datos: Excel, hoja Por tamaño, Cuadro C.</w:t>
      </w:r>
    </w:p>
    <w:p>
      <w:pPr>
        <w:pStyle w:val="Prrafodelista"/>
        <w:numPr>
          <w:ilvl w:val="0"/>
          <w:numId w:val="5"/>
        </w:numPr>
      </w:pPr>
      <w:r>
        <w:rPr>
          <w:b/>
        </w:rPr>
        <w:t xml:space="preserve">Crédito nuevo. </w:t>
      </w:r>
      <w:r>
        <w:rPr/>
        <w:t xml:space="preserve">Desde 2022 las grandes se mueven en una banda estrecha, de 18.6% a 24.6%; en 2020 llegaron a 31.6%. Las pequeñas oscilan entre 9.9% y 16.3% (I-24), y II-26 (9.9%) es su valor más bajo desde IV-21 (7.2%).</w:t>
      </w:r>
    </w:p>
    <w:p>
      <w:pPr>
        <w:pStyle w:val="Prrafodelista"/>
        <w:numPr>
          <w:ilvl w:val="0"/>
          <w:numId w:val="5"/>
        </w:numPr>
      </w:pPr>
      <w:r>
        <w:rPr>
          <w:b/>
        </w:rPr>
        <w:t xml:space="preserve">Crédito vigente. </w:t>
      </w:r>
      <w:r>
        <w:rPr/>
        <w:t xml:space="preserve">Las pequeñas casi nunca pasan de 41% (máximo 41.1% en I-22) y hoy están en 35.7%. Las grandes bajaron de 56.4% (II-20) a 38.9% (IV-22) y se recuperaron a 49.7%.</w:t>
      </w:r>
    </w:p>
    <w:p>
      <w:pPr>
        <w:pStyle w:val="Prrafodelista"/>
        <w:numPr>
          <w:ilvl w:val="0"/>
          <w:numId w:val="5"/>
        </w:numPr>
      </w:pPr>
      <w:r>
        <w:rPr>
          <w:b/>
        </w:rPr>
        <w:t xml:space="preserve">Brecha por año. </w:t>
      </w:r>
      <w:r>
        <w:rPr/>
        <w:t xml:space="preserve">La diferencia de crédito vigente fue 16.5 pp en 2020 y 15.9 pp en 2021, bajó a 6.8 pp en 2023 y volvió a subir hasta 12.4 pp en 2026. En crédito nuevo, la brecha pasó de 5.2 pp (2023) a 10.0 pp (2026).</w:t>
      </w:r>
    </w:p>
    <w:p>
      <w:pPr>
        <w:pStyle w:val="Prrafodelista"/>
        <w:numPr>
          <w:ilvl w:val="0"/>
          <w:numId w:val="5"/>
        </w:numPr>
      </w:pPr>
      <w:r>
        <w:rPr>
          <w:b/>
        </w:rPr>
        <w:t xml:space="preserve">Costo, también dividido. </w:t>
      </w:r>
      <w:r>
        <w:rPr/>
        <w:t xml:space="preserve">En II-26 las pequeñas perciben tasas más caras (índice 35.3) y las grandes más baratas (53.7). En el II trimestre de 2024 y 2025 ya pasaba lo mismo (24.4 y 44.3 las pymes; 42.2 y 58.8 las grandes).</w:t>
      </w:r>
    </w:p>
    <w:p>
      <w:pPr>
        <w:pStyle w:val="Ttulo2"/>
        <w:keepNext/>
      </w:pPr>
      <w:r>
        <w:rPr/>
        <w:t xml:space="preserve">Más rechazo y costo percibido: 2020-2026, pymes y grandes</w:t>
      </w:r>
    </w:p>
    <w:p>
      <w:pPr/>
      <w:r>
        <w:rPr/>
        <w:t xml:space="preserve">En el primer semestre de 2026 la oferta bancaria se endureció: suben los rechazos y las empresas perciben crédito más caro, aunque la tasa de Banxico bajó. El aumento del rechazo es de las pymes.</w:t>
      </w:r>
    </w:p>
    <w:p>
      <w:pPr>
        <w:keepNext/>
        <w:jc w:val="center"/>
      </w:pPr>
      <w:r>
        <w:drawing>
          <wp:inline xmlns:a="http://schemas.openxmlformats.org/drawingml/2006/main" xmlns:pic="http://schemas.openxmlformats.org/drawingml/2006/picture">
            <wp:extent cx="5486400" cy="2633472"/>
            <wp:docPr id="5" name="Picture 5" descr="Tasa de rechazo e índice de costo"/>
            <wp:cNvGraphicFramePr>
              <a:graphicFrameLocks noChangeAspect="1"/>
            </wp:cNvGraphicFramePr>
            <a:graphic>
              <a:graphicData uri="http://schemas.openxmlformats.org/drawingml/2006/picture">
                <pic:pic>
                  <pic:nvPicPr>
                    <pic:cNvPr id="0" name="g5_rechazo_costo.png" descr="Tasa de rechazo e índice de costo"/>
                    <pic:cNvPicPr/>
                  </pic:nvPicPr>
                  <pic:blipFill>
                    <a:blip r:embed="rId28"/>
                    <a:stretch>
                      <a:fillRect/>
                    </a:stretch>
                  </pic:blipFill>
                  <pic:spPr>
                    <a:xfrm>
                      <a:off x="0" y="0"/>
                      <a:ext cx="5486400" cy="2633472"/>
                    </a:xfrm>
                    <a:prstGeom prst="rect"/>
                  </pic:spPr>
                </pic:pic>
              </a:graphicData>
            </a:graphic>
          </wp:inline>
        </w:drawing>
      </w:r>
    </w:p>
    <w:p>
      <w:pPr/>
      <w:r>
        <w:rPr>
          <w:b/>
          <w:sz w:val="18"/>
        </w:rPr>
        <w:t xml:space="preserve">Gráfica 5 · Fuente: </w:t>
      </w:r>
      <w:r>
        <w:rPr>
          <w:sz w:val="18"/>
        </w:rPr>
        <w:t xml:space="preserve">Banxico, SIE y cuadro 2 de los comunicados, diseño vigente I-2020 a II-2026; tasa de rechazo: cálculo propio. Datos: Excel, hoja Rechazo y costo.</w:t>
      </w:r>
    </w:p>
    <w:p>
      <w:pPr>
        <w:keepNext/>
      </w:pPr>
      <w:r>
        <w:rPr>
          <w:b/>
        </w:rPr>
        <w:t xml:space="preserve">Rechazo y costo por año. </w:t>
      </w:r>
      <w:r>
        <w:rPr/>
        <w:t xml:space="preserve">Promedio de los trimestres.</w:t>
      </w:r>
    </w:p>
    <w:tbl>
      <w:tblPr>
        <w:tblStyle w:val="Tablaconcuadrcula"/>
        <w:tblW w:w="9360" w:type="dxa"/>
        <w:tblLayout w:type="fixed"/>
        <w:tblLook w:val="0420" w:firstRow="1" w:lastRow="0" w:firstColumn="0" w:lastColumn="0" w:noHBand="0" w:noVBand="1"/>
      </w:tblPr>
      <w:tblGrid>
        <w:gridCol w:w="2400"/>
        <w:gridCol w:w="2320"/>
        <w:gridCol w:w="2320"/>
        <w:gridCol w:w="2320"/>
      </w:tblGrid>
      <w:tr>
        <w:trPr>
          <w:tblHeader/>
        </w:trPr>
        <w:tc>
          <w:tcPr>
            <w:tcW w:type="dxa" w:w="2400"/>
            <w:shd w:val="clear" w:color="auto" w:fill="F2F2F2"/>
          </w:tcPr>
          <w:p>
            <w:pPr>
              <w:keepNext/>
            </w:pPr>
            <w:r>
              <w:rPr/>
              <w:t xml:space="preserve">Año</w:t>
            </w:r>
          </w:p>
        </w:tc>
        <w:tc>
          <w:tcPr>
            <w:tcW w:type="dxa" w:w="2320"/>
            <w:shd w:val="clear" w:color="auto" w:fill="F2F2F2"/>
          </w:tcPr>
          <w:p>
            <w:pPr>
              <w:keepNext/>
            </w:pPr>
            <w:r>
              <w:rPr/>
              <w:t xml:space="preserve">Tasa de rechazo</w:t>
            </w:r>
          </w:p>
        </w:tc>
        <w:tc>
          <w:tcPr>
            <w:tcW w:type="dxa" w:w="2320"/>
            <w:shd w:val="clear" w:color="auto" w:fill="F2F2F2"/>
          </w:tcPr>
          <w:p>
            <w:pPr>
              <w:keepNext/>
            </w:pPr>
            <w:r>
              <w:rPr/>
              <w:t xml:space="preserve">Índice de tasas</w:t>
            </w:r>
          </w:p>
        </w:tc>
        <w:tc>
          <w:tcPr>
            <w:tcW w:type="dxa" w:w="2320"/>
            <w:shd w:val="clear" w:color="auto" w:fill="F2F2F2"/>
          </w:tcPr>
          <w:p>
            <w:pPr>
              <w:keepNext/>
            </w:pPr>
            <w:r>
              <w:rPr/>
              <w:t xml:space="preserve">Índice de comisiones</w:t>
            </w:r>
          </w:p>
        </w:tc>
      </w:tr>
      <w:tr>
        <w:tc>
          <w:tcPr>
            <w:tcW w:type="dxa" w:w="2400"/>
          </w:tcPr>
          <w:p>
            <w:pPr>
              <w:keepNext/>
            </w:pPr>
            <w:r>
              <w:rPr>
                <w:b/>
              </w:rPr>
              <w:t xml:space="preserve">2020</w:t>
            </w:r>
          </w:p>
        </w:tc>
        <w:tc>
          <w:tcPr>
            <w:tcW w:type="dxa" w:w="2320"/>
          </w:tcPr>
          <w:p>
            <w:pPr>
              <w:keepNext/>
            </w:pPr>
            <w:r>
              <w:rPr/>
              <w:t xml:space="preserve">17.7%</w:t>
            </w:r>
          </w:p>
        </w:tc>
        <w:tc>
          <w:tcPr>
            <w:tcW w:type="dxa" w:w="2320"/>
          </w:tcPr>
          <w:p>
            <w:pPr>
              <w:keepNext/>
            </w:pPr>
            <w:r>
              <w:rPr/>
              <w:t xml:space="preserve">42.6</w:t>
            </w:r>
          </w:p>
        </w:tc>
        <w:tc>
          <w:tcPr>
            <w:tcW w:type="dxa" w:w="2320"/>
          </w:tcPr>
          <w:p>
            <w:pPr>
              <w:keepNext/>
            </w:pPr>
            <w:r>
              <w:rPr/>
              <w:t xml:space="preserve">45.1</w:t>
            </w:r>
          </w:p>
        </w:tc>
      </w:tr>
      <w:tr>
        <w:tc>
          <w:tcPr>
            <w:tcW w:type="dxa" w:w="2400"/>
          </w:tcPr>
          <w:p>
            <w:pPr>
              <w:keepNext/>
            </w:pPr>
            <w:r>
              <w:rPr>
                <w:b/>
              </w:rPr>
              <w:t xml:space="preserve">2021</w:t>
            </w:r>
          </w:p>
        </w:tc>
        <w:tc>
          <w:tcPr>
            <w:tcW w:type="dxa" w:w="2320"/>
          </w:tcPr>
          <w:p>
            <w:pPr>
              <w:keepNext/>
            </w:pPr>
            <w:r>
              <w:rPr/>
              <w:t xml:space="preserve">23.9%</w:t>
            </w:r>
          </w:p>
        </w:tc>
        <w:tc>
          <w:tcPr>
            <w:tcW w:type="dxa" w:w="2320"/>
          </w:tcPr>
          <w:p>
            <w:pPr>
              <w:keepNext/>
            </w:pPr>
            <w:r>
              <w:rPr/>
              <w:t xml:space="preserve">41.9</w:t>
            </w:r>
          </w:p>
        </w:tc>
        <w:tc>
          <w:tcPr>
            <w:tcW w:type="dxa" w:w="2320"/>
          </w:tcPr>
          <w:p>
            <w:pPr>
              <w:keepNext/>
            </w:pPr>
            <w:r>
              <w:rPr/>
              <w:t xml:space="preserve">43.1</w:t>
            </w:r>
          </w:p>
        </w:tc>
      </w:tr>
      <w:tr>
        <w:tc>
          <w:tcPr>
            <w:tcW w:type="dxa" w:w="2400"/>
          </w:tcPr>
          <w:p>
            <w:pPr>
              <w:keepNext/>
            </w:pPr>
            <w:r>
              <w:rPr>
                <w:b/>
              </w:rPr>
              <w:t xml:space="preserve">2022</w:t>
            </w:r>
          </w:p>
        </w:tc>
        <w:tc>
          <w:tcPr>
            <w:tcW w:type="dxa" w:w="2320"/>
          </w:tcPr>
          <w:p>
            <w:pPr>
              <w:keepNext/>
            </w:pPr>
            <w:r>
              <w:rPr/>
              <w:t xml:space="preserve">12.5%</w:t>
            </w:r>
          </w:p>
        </w:tc>
        <w:tc>
          <w:tcPr>
            <w:tcW w:type="dxa" w:w="2320"/>
          </w:tcPr>
          <w:p>
            <w:pPr>
              <w:keepNext/>
            </w:pPr>
            <w:r>
              <w:rPr/>
              <w:t xml:space="preserve">18.7</w:t>
            </w:r>
          </w:p>
        </w:tc>
        <w:tc>
          <w:tcPr>
            <w:tcW w:type="dxa" w:w="2320"/>
          </w:tcPr>
          <w:p>
            <w:pPr>
              <w:keepNext/>
            </w:pPr>
            <w:r>
              <w:rPr/>
              <w:t xml:space="preserve">29.9</w:t>
            </w:r>
          </w:p>
        </w:tc>
      </w:tr>
      <w:tr>
        <w:tc>
          <w:tcPr>
            <w:tcW w:type="dxa" w:w="2400"/>
          </w:tcPr>
          <w:p>
            <w:pPr>
              <w:keepNext/>
            </w:pPr>
            <w:r>
              <w:rPr>
                <w:b/>
              </w:rPr>
              <w:t xml:space="preserve">2023</w:t>
            </w:r>
          </w:p>
        </w:tc>
        <w:tc>
          <w:tcPr>
            <w:tcW w:type="dxa" w:w="2320"/>
          </w:tcPr>
          <w:p>
            <w:pPr>
              <w:keepNext/>
            </w:pPr>
            <w:r>
              <w:rPr/>
              <w:t xml:space="preserve">7.2%</w:t>
            </w:r>
          </w:p>
        </w:tc>
        <w:tc>
          <w:tcPr>
            <w:tcW w:type="dxa" w:w="2320"/>
          </w:tcPr>
          <w:p>
            <w:pPr>
              <w:keepNext/>
            </w:pPr>
            <w:r>
              <w:rPr/>
              <w:t xml:space="preserve">31.0</w:t>
            </w:r>
          </w:p>
        </w:tc>
        <w:tc>
          <w:tcPr>
            <w:tcW w:type="dxa" w:w="2320"/>
          </w:tcPr>
          <w:p>
            <w:pPr>
              <w:keepNext/>
            </w:pPr>
            <w:r>
              <w:rPr/>
              <w:t xml:space="preserve">35.1</w:t>
            </w:r>
          </w:p>
        </w:tc>
      </w:tr>
      <w:tr>
        <w:tc>
          <w:tcPr>
            <w:tcW w:type="dxa" w:w="2400"/>
          </w:tcPr>
          <w:p>
            <w:pPr>
              <w:keepNext/>
            </w:pPr>
            <w:r>
              <w:rPr>
                <w:b/>
              </w:rPr>
              <w:t xml:space="preserve">2024</w:t>
            </w:r>
          </w:p>
        </w:tc>
        <w:tc>
          <w:tcPr>
            <w:tcW w:type="dxa" w:w="2320"/>
          </w:tcPr>
          <w:p>
            <w:pPr>
              <w:keepNext/>
            </w:pPr>
            <w:r>
              <w:rPr/>
              <w:t xml:space="preserve">7.0%</w:t>
            </w:r>
          </w:p>
        </w:tc>
        <w:tc>
          <w:tcPr>
            <w:tcW w:type="dxa" w:w="2320"/>
          </w:tcPr>
          <w:p>
            <w:pPr>
              <w:keepNext/>
            </w:pPr>
            <w:r>
              <w:rPr/>
              <w:t xml:space="preserve">32.4</w:t>
            </w:r>
          </w:p>
        </w:tc>
        <w:tc>
          <w:tcPr>
            <w:tcW w:type="dxa" w:w="2320"/>
          </w:tcPr>
          <w:p>
            <w:pPr>
              <w:keepNext/>
            </w:pPr>
            <w:r>
              <w:rPr/>
              <w:t xml:space="preserve">33.8</w:t>
            </w:r>
          </w:p>
        </w:tc>
      </w:tr>
      <w:tr>
        <w:tc>
          <w:tcPr>
            <w:tcW w:type="dxa" w:w="2400"/>
          </w:tcPr>
          <w:p>
            <w:pPr>
              <w:keepNext/>
            </w:pPr>
            <w:r>
              <w:rPr>
                <w:b/>
              </w:rPr>
              <w:t xml:space="preserve">2025</w:t>
            </w:r>
          </w:p>
        </w:tc>
        <w:tc>
          <w:tcPr>
            <w:tcW w:type="dxa" w:w="2320"/>
          </w:tcPr>
          <w:p>
            <w:pPr>
              <w:keepNext/>
            </w:pPr>
            <w:r>
              <w:rPr/>
              <w:t xml:space="preserve">6.4%</w:t>
            </w:r>
          </w:p>
        </w:tc>
        <w:tc>
          <w:tcPr>
            <w:tcW w:type="dxa" w:w="2320"/>
          </w:tcPr>
          <w:p>
            <w:pPr>
              <w:keepNext/>
            </w:pPr>
            <w:r>
              <w:rPr/>
              <w:t xml:space="preserve">45.7</w:t>
            </w:r>
          </w:p>
        </w:tc>
        <w:tc>
          <w:tcPr>
            <w:tcW w:type="dxa" w:w="2320"/>
          </w:tcPr>
          <w:p>
            <w:pPr>
              <w:keepNext/>
            </w:pPr>
            <w:r>
              <w:rPr/>
              <w:t xml:space="preserve">40.0</w:t>
            </w:r>
          </w:p>
        </w:tc>
      </w:tr>
      <w:tr>
        <w:tc>
          <w:tcPr>
            <w:tcW w:type="dxa" w:w="2400"/>
          </w:tcPr>
          <w:p>
            <w:pPr/>
            <w:r>
              <w:rPr>
                <w:b/>
              </w:rPr>
              <w:t xml:space="preserve">2026 (I y II)</w:t>
            </w:r>
          </w:p>
        </w:tc>
        <w:tc>
          <w:tcPr>
            <w:tcW w:type="dxa" w:w="2320"/>
          </w:tcPr>
          <w:p>
            <w:pPr/>
            <w:r>
              <w:rPr/>
              <w:t xml:space="preserve">23.4%</w:t>
            </w:r>
          </w:p>
        </w:tc>
        <w:tc>
          <w:tcPr>
            <w:tcW w:type="dxa" w:w="2320"/>
          </w:tcPr>
          <w:p>
            <w:pPr/>
            <w:r>
              <w:rPr/>
              <w:t xml:space="preserve">42.2</w:t>
            </w:r>
          </w:p>
        </w:tc>
        <w:tc>
          <w:tcPr>
            <w:tcW w:type="dxa" w:w="2320"/>
          </w:tcPr>
          <w:p>
            <w:pPr/>
            <w:r>
              <w:rPr/>
              <w:t xml:space="preserve">33.8</w:t>
            </w:r>
          </w:p>
        </w:tc>
      </w:tr>
    </w:tbl>
    <w:p>
      <w:pPr>
        <w:keepNext/>
        <w:spacing w:before="160"/>
        <w:jc w:val="center"/>
      </w:pPr>
      <w:r>
        <w:drawing>
          <wp:inline xmlns:a="http://schemas.openxmlformats.org/drawingml/2006/main" xmlns:pic="http://schemas.openxmlformats.org/drawingml/2006/picture">
            <wp:extent cx="5486400" cy="2560320"/>
            <wp:docPr id="6" name="Picture 6" descr="Tasa de rechazo por tamaño en el II trimestre"/>
            <wp:cNvGraphicFramePr>
              <a:graphicFrameLocks noChangeAspect="1"/>
            </wp:cNvGraphicFramePr>
            <a:graphic>
              <a:graphicData uri="http://schemas.openxmlformats.org/drawingml/2006/picture">
                <pic:pic>
                  <pic:nvPicPr>
                    <pic:cNvPr id="0" name="g6_rechazo_tamano.png" descr="Tasa de rechazo por tamaño en el II trimestre"/>
                    <pic:cNvPicPr/>
                  </pic:nvPicPr>
                  <pic:blipFill>
                    <a:blip r:embed="rId29"/>
                    <a:stretch>
                      <a:fillRect/>
                    </a:stretch>
                  </pic:blipFill>
                  <pic:spPr>
                    <a:xfrm>
                      <a:off x="0" y="0"/>
                      <a:ext cx="5486400" cy="2560320"/>
                    </a:xfrm>
                    <a:prstGeom prst="rect"/>
                  </pic:spPr>
                </pic:pic>
              </a:graphicData>
            </a:graphic>
          </wp:inline>
        </w:drawing>
      </w:r>
    </w:p>
    <w:p>
      <w:pPr/>
      <w:r>
        <w:rPr>
          <w:b/>
          <w:sz w:val="18"/>
        </w:rPr>
        <w:t xml:space="preserve">Gráfica 6 · Fuente: </w:t>
      </w:r>
      <w:r>
        <w:rPr>
          <w:sz w:val="18"/>
        </w:rPr>
        <w:t xml:space="preserve">Banxico, comunicado II-2026 (cuadro 2) y SIE (variación anual) para II-2020 a II-2025; cálculo propio. Datos: Excel, hoja Rechazo y costo, Cuadro C.</w:t>
      </w:r>
    </w:p>
    <w:p>
      <w:pPr>
        <w:pStyle w:val="Prrafodelista"/>
        <w:numPr>
          <w:ilvl w:val="0"/>
          <w:numId w:val="6"/>
        </w:numPr>
      </w:pPr>
      <w:r>
        <w:rPr>
          <w:b/>
        </w:rPr>
        <w:t xml:space="preserve">Rechazos. </w:t>
      </w:r>
      <w:r>
        <w:rPr/>
        <w:t xml:space="preserve">3.8% y 3.6% del total de empresas reportaron solicitud rechazada en I-26 y II-26, contra 0.5-1.6% en 2023-2025. La tasa de rechazo de 2026 (23.4%) se parece a la de 2020-2021 (17.7% y 23.9%). La base es chica: en un trimestre solicitan crédito 15-22% de las empresas.</w:t>
      </w:r>
    </w:p>
    <w:p>
      <w:pPr>
        <w:pStyle w:val="Prrafodelista"/>
        <w:numPr>
          <w:ilvl w:val="0"/>
          <w:numId w:val="6"/>
        </w:numPr>
      </w:pPr>
      <w:r>
        <w:rPr>
          <w:b/>
        </w:rPr>
        <w:t xml:space="preserve">Por tamaño. </w:t>
      </w:r>
      <w:r>
        <w:rPr/>
        <w:t xml:space="preserve">En el II trimestre, el rechazo de las pymes bajó de 33.3% (2020) a 4.1% (2023) y saltó a 28.3% en 2026; el de las grandes se quedó en 3.1%.</w:t>
      </w:r>
    </w:p>
    <w:p>
      <w:pPr>
        <w:pStyle w:val="Prrafodelista"/>
        <w:numPr>
          <w:ilvl w:val="0"/>
          <w:numId w:val="6"/>
        </w:numPr>
      </w:pPr>
      <w:r>
        <w:rPr>
          <w:b/>
        </w:rPr>
        <w:t xml:space="preserve">Costo percibido. </w:t>
      </w:r>
      <w:r>
        <w:rPr/>
        <w:t xml:space="preserve">El índice de tasas (menos de 50 = más caro) cayó de 62.5 (I-21) a 12.1 (II-22) con las alzas, subió hasta 49.0 (III-25) con los recortes y volvió a bajar a 47.6, 44.9 y 39.4. Las comisiones siguen en 34.9.</w:t>
      </w:r>
    </w:p>
    <w:p>
      <w:pPr>
        <w:pStyle w:val="Prrafodelista"/>
        <w:numPr>
          <w:ilvl w:val="0"/>
          <w:numId w:val="6"/>
        </w:numPr>
      </w:pPr>
      <w:r>
        <w:rPr>
          <w:b/>
        </w:rPr>
        <w:t xml:space="preserve">Limitantes. </w:t>
      </w:r>
      <w:r>
        <w:rPr/>
        <w:t xml:space="preserve">Las empresas que no ven limitante en las condiciones de crédito bajaron a 50.9%, cerca del mínimo desde 2021 (49.6% en II-22). La 'limitante mayor' sigue en 18.5%; lo que creció es la 'limitante menor', de 23.5% a 30.7%.</w:t>
      </w:r>
    </w:p>
    <w:p>
      <w:pPr>
        <w:pStyle w:val="Prrafodelista"/>
        <w:numPr>
          <w:ilvl w:val="0"/>
          <w:numId w:val="6"/>
        </w:numPr>
      </w:pPr>
      <w:r>
        <w:rPr>
          <w:b/>
        </w:rPr>
        <w:t xml:space="preserve">Por qué no piden. </w:t>
      </w:r>
      <w:r>
        <w:rPr/>
        <w:t xml:space="preserve">Entre quienes no usaron crédito, 62.6% señala la situación económica general y 55.6% las tasas de interés. La primera es el nivel más alto desde IV-20 (70.4%); la segunda, cerca de su máximo desde 2022 (57.3% en IV-25).</w:t>
      </w:r>
    </w:p>
    <w:p>
      <w:pPr>
        <w:pStyle w:val="Ttulo2"/>
        <w:keepNext/>
      </w:pPr>
      <w:r>
        <w:rPr/>
        <w:t xml:space="preserve">Componente de exportaciones</w:t>
      </w:r>
    </w:p>
    <w:p>
      <w:pPr/>
      <w:r>
        <w:rPr/>
        <w:t xml:space="preserve">Plan México busca más contenido nacional en las exportaciones y Bancomext es uno de sus brazos financieros, así que importa saber si las empresas ligadas al comercio exterior tienen mejor acceso al crédito bancario.</w:t>
      </w:r>
    </w:p>
    <w:p>
      <w:pPr>
        <w:pStyle w:val="Prrafodelista"/>
        <w:numPr>
          <w:ilvl w:val="0"/>
          <w:numId w:val="10"/>
        </w:numPr>
      </w:pPr>
      <w:r>
        <w:rPr>
          <w:b/>
        </w:rPr>
        <w:t xml:space="preserve">Qué publica Banxico. </w:t>
      </w:r>
      <w:r>
        <w:rPr/>
        <w:t xml:space="preserve">El SIE del diseño vigente separa por tamaño, actividad económica y región, pero no por actividad exportadora. Lo más cercano es el destino del crédito nuevo: 'operaciones de comercio exterior'.</w:t>
      </w:r>
    </w:p>
    <w:p>
      <w:pPr>
        <w:pStyle w:val="Prrafodelista"/>
        <w:numPr>
          <w:ilvl w:val="0"/>
          <w:numId w:val="10"/>
        </w:numPr>
      </w:pPr>
      <w:r>
        <w:rPr>
          <w:b/>
        </w:rPr>
        <w:t xml:space="preserve">Qué dice. </w:t>
      </w:r>
      <w:r>
        <w:rPr/>
        <w:t xml:space="preserve">Entre las grandes que usaron crédito nuevo, la parte que lo destinó a comercio exterior bajó de 7.4% (II-20) a 0.9% (II-26); en las pymes fue 0.0% en II-26. Para el total fue 0.0% en I-26 y 0.2% en II-26.</w:t>
      </w:r>
    </w:p>
    <w:p>
      <w:pPr>
        <w:pStyle w:val="Prrafodelista"/>
        <w:numPr>
          <w:ilvl w:val="0"/>
          <w:numId w:val="10"/>
        </w:numPr>
      </w:pPr>
      <w:r>
        <w:rPr>
          <w:b/>
        </w:rPr>
        <w:t xml:space="preserve">Lectura. </w:t>
      </w:r>
      <w:r>
        <w:rPr/>
        <w:t xml:space="preserve">El crédito bancario casi no financia operaciones de comercio exterior, y lo poco que hay es de empresas grandes. La hipótesis H6 no se puede probar tal como se planteó; con este proxy, el componente exportador del crédito bancario es marginal.</w:t>
      </w:r>
    </w:p>
    <w:p>
      <w:pPr>
        <w:pStyle w:val="Ttulo2"/>
        <w:keepNext/>
      </w:pPr>
      <w:r>
        <w:rPr/>
        <w:t xml:space="preserve">Fuentes de financiamiento y problemas de las empresas</w:t>
      </w:r>
    </w:p>
    <w:p>
      <w:pPr/>
      <w:r>
        <w:rPr/>
        <w:t xml:space="preserve">Las empresas se financian sobre todo con proveedores, y su problema principal son las ventas, no el acceso al crédito.</w:t>
      </w:r>
    </w:p>
    <w:p>
      <w:pPr>
        <w:pStyle w:val="Prrafodelista"/>
        <w:numPr>
          <w:ilvl w:val="0"/>
          <w:numId w:val="7"/>
        </w:numPr>
      </w:pPr>
      <w:r>
        <w:rPr>
          <w:b/>
        </w:rPr>
        <w:t xml:space="preserve">Proveedores. </w:t>
      </w:r>
      <w:r>
        <w:rPr/>
        <w:t xml:space="preserve">En 2020 los usaba entre 77.5% y 80.8% de las empresas; desde 2021, entre 56.4% y 65.5%. En II-26, 60.9%.</w:t>
      </w:r>
    </w:p>
    <w:p>
      <w:pPr>
        <w:pStyle w:val="Prrafodelista"/>
        <w:numPr>
          <w:ilvl w:val="0"/>
          <w:numId w:val="7"/>
        </w:numPr>
      </w:pPr>
      <w:r>
        <w:rPr>
          <w:b/>
        </w:rPr>
        <w:t xml:space="preserve">Banca comercial. </w:t>
      </w:r>
      <w:r>
        <w:rPr/>
        <w:t xml:space="preserve">Bajó de 32.3% (IV-23) a 24.5% (II-26), el valor más bajo desde IV-20 (20.8%). Entre las grandes es 38.4%; entre las pequeñas, 22.7%.</w:t>
      </w:r>
    </w:p>
    <w:p>
      <w:pPr>
        <w:pStyle w:val="Prrafodelista"/>
        <w:numPr>
          <w:ilvl w:val="0"/>
          <w:numId w:val="7"/>
        </w:numPr>
      </w:pPr>
      <w:r>
        <w:rPr>
          <w:b/>
        </w:rPr>
        <w:t xml:space="preserve">Grupo corporativo. </w:t>
      </w:r>
      <w:r>
        <w:rPr/>
        <w:t xml:space="preserve">Se mantiene en 8-16% (11.2% en II-26). Banca de desarrollo, banca extranjera y emisión de deuda suman menos de 2%.</w:t>
      </w:r>
    </w:p>
    <w:p>
      <w:pPr>
        <w:pStyle w:val="Prrafodelista"/>
        <w:numPr>
          <w:ilvl w:val="0"/>
          <w:numId w:val="7"/>
        </w:numPr>
      </w:pPr>
      <w:r>
        <w:rPr>
          <w:b/>
        </w:rPr>
        <w:t xml:space="preserve">Ventas como problema. </w:t>
      </w:r>
      <w:r>
        <w:rPr/>
        <w:t xml:space="preserve">Es el problema más apremiante para 44.6% de las empresas. Subió de 29.4% (IV-23) a 47.8% (II-25), el nivel más alto desde III-20 (52.2%), y desde entonces está entre 41% y 45%.</w:t>
      </w:r>
    </w:p>
    <w:p>
      <w:pPr>
        <w:pStyle w:val="Prrafodelista"/>
        <w:numPr>
          <w:ilvl w:val="0"/>
          <w:numId w:val="7"/>
        </w:numPr>
      </w:pPr>
      <w:r>
        <w:rPr>
          <w:b/>
        </w:rPr>
        <w:t xml:space="preserve">Acceso al financiamiento. </w:t>
      </w:r>
      <w:r>
        <w:rPr/>
        <w:t xml:space="preserve">Como problema principal, nunca pasa de 2.6% desde I-20 (1.2% en II-26). Para la mayoría la restricción es de demanda: no piden crédito porque no venden.</w:t>
      </w:r>
    </w:p>
    <w:p>
      <w:pPr>
        <w:pStyle w:val="Ttulo2"/>
        <w:keepNext/>
      </w:pPr>
      <w:r>
        <w:rPr/>
        <w:t xml:space="preserve">La tasa de Banxico y la TIIE no explican el crédito nuevo</w:t>
      </w:r>
    </w:p>
    <w:p>
      <w:pPr/>
      <w:r>
        <w:rPr/>
        <w:t xml:space="preserve">La tasa objetivo y la TIIE a 28 días se movieron casi juntas: subieron de 4% a más de 11% entre 2021 y 2023 y bajaron a cerca de 7% en 2026. El crédito nuevo no las siguió.</w:t>
      </w:r>
    </w:p>
    <w:p>
      <w:pPr>
        <w:keepNext/>
        <w:jc w:val="center"/>
      </w:pPr>
      <w:r>
        <w:drawing>
          <wp:inline xmlns:a="http://schemas.openxmlformats.org/drawingml/2006/main" xmlns:pic="http://schemas.openxmlformats.org/drawingml/2006/picture">
            <wp:extent cx="5486400" cy="3364992"/>
            <wp:docPr id="7" name="Picture 7" descr="Tasa objetivo, TIIE y crédito nuevo"/>
            <wp:cNvGraphicFramePr>
              <a:graphicFrameLocks noChangeAspect="1"/>
            </wp:cNvGraphicFramePr>
            <a:graphic>
              <a:graphicData uri="http://schemas.openxmlformats.org/drawingml/2006/picture">
                <pic:pic>
                  <pic:nvPicPr>
                    <pic:cNvPr id="0" name="g7_tasa_tiie_credito.png" descr="Tasa objetivo, TIIE y crédito nuevo"/>
                    <pic:cNvPicPr/>
                  </pic:nvPicPr>
                  <pic:blipFill>
                    <a:blip r:embed="rId30"/>
                    <a:stretch>
                      <a:fillRect/>
                    </a:stretch>
                  </pic:blipFill>
                  <pic:spPr>
                    <a:xfrm>
                      <a:off x="0" y="0"/>
                      <a:ext cx="5486400" cy="3364992"/>
                    </a:xfrm>
                    <a:prstGeom prst="rect"/>
                  </pic:spPr>
                </pic:pic>
              </a:graphicData>
            </a:graphic>
          </wp:inline>
        </w:drawing>
      </w:r>
    </w:p>
    <w:p>
      <w:pPr/>
      <w:r>
        <w:rPr>
          <w:b/>
          <w:sz w:val="18"/>
        </w:rPr>
        <w:t xml:space="preserve">Gráfica 7 · Fuente: </w:t>
      </w:r>
      <w:r>
        <w:rPr>
          <w:sz w:val="18"/>
        </w:rPr>
        <w:t xml:space="preserve">Banxico, SIE: TIIE a 28 días (SF43783), anuncios de política monetaria y encuesta, diseño vigente. Datos: Excel, hojas Series y TIIE.</w:t>
      </w:r>
    </w:p>
    <w:tbl>
      <w:tblPr>
        <w:tblStyle w:val="Tablaconcuadrcula"/>
        <w:tblW w:w="9360" w:type="dxa"/>
        <w:tblLayout w:type="fixed"/>
        <w:tblLook w:val="0420" w:firstRow="1" w:lastRow="0" w:firstColumn="0" w:lastColumn="0" w:noHBand="0" w:noVBand="1"/>
      </w:tblPr>
      <w:tblGrid>
        <w:gridCol w:w="2560"/>
        <w:gridCol w:w="1200"/>
        <w:gridCol w:w="1400"/>
        <w:gridCol w:w="1400"/>
        <w:gridCol w:w="1400"/>
        <w:gridCol w:w="1400"/>
      </w:tblGrid>
      <w:tr>
        <w:trPr>
          <w:tblHeader/>
        </w:trPr>
        <w:tc>
          <w:tcPr>
            <w:tcW w:type="dxa" w:w="2560"/>
            <w:shd w:val="clear" w:color="auto" w:fill="F2F2F2"/>
          </w:tcPr>
          <w:p>
            <w:pPr>
              <w:keepNext/>
            </w:pPr>
            <w:r>
              <w:rPr/>
              <w:t xml:space="preserve">Fase</w:t>
            </w:r>
          </w:p>
        </w:tc>
        <w:tc>
          <w:tcPr>
            <w:tcW w:type="dxa" w:w="1200"/>
            <w:shd w:val="clear" w:color="auto" w:fill="F2F2F2"/>
          </w:tcPr>
          <w:p>
            <w:pPr>
              <w:keepNext/>
            </w:pPr>
            <w:r>
              <w:rPr/>
              <w:t xml:space="preserve">Trimestres con dato</w:t>
            </w:r>
          </w:p>
        </w:tc>
        <w:tc>
          <w:tcPr>
            <w:tcW w:type="dxa" w:w="1400"/>
            <w:shd w:val="clear" w:color="auto" w:fill="F2F2F2"/>
          </w:tcPr>
          <w:p>
            <w:pPr>
              <w:keepNext/>
            </w:pPr>
            <w:r>
              <w:rPr/>
              <w:t xml:space="preserve">Tasa promedio al cierre (%)</w:t>
            </w:r>
          </w:p>
        </w:tc>
        <w:tc>
          <w:tcPr>
            <w:tcW w:type="dxa" w:w="1400"/>
            <w:shd w:val="clear" w:color="auto" w:fill="F2F2F2"/>
          </w:tcPr>
          <w:p>
            <w:pPr>
              <w:keepNext/>
            </w:pPr>
            <w:r>
              <w:rPr/>
              <w:t xml:space="preserve">TIIE 28 promedio (%)</w:t>
            </w:r>
          </w:p>
        </w:tc>
        <w:tc>
          <w:tcPr>
            <w:tcW w:type="dxa" w:w="1400"/>
            <w:shd w:val="clear" w:color="auto" w:fill="F2F2F2"/>
          </w:tcPr>
          <w:p>
            <w:pPr>
              <w:keepNext/>
            </w:pPr>
            <w:r>
              <w:rPr/>
              <w:t xml:space="preserve">Nuevo crédito promedio (%)</w:t>
            </w:r>
          </w:p>
        </w:tc>
        <w:tc>
          <w:tcPr>
            <w:tcW w:type="dxa" w:w="1400"/>
            <w:shd w:val="clear" w:color="auto" w:fill="F2F2F2"/>
          </w:tcPr>
          <w:p>
            <w:pPr>
              <w:keepNext/>
            </w:pPr>
            <w:r>
              <w:rPr/>
              <w:t xml:space="preserve">Sin limitante promedio (%)</w:t>
            </w:r>
          </w:p>
        </w:tc>
      </w:tr>
      <w:tr>
        <w:tc>
          <w:tcPr>
            <w:tcW w:type="dxa" w:w="2560"/>
          </w:tcPr>
          <w:p>
            <w:pPr>
              <w:keepNext/>
            </w:pPr>
            <w:r>
              <w:rPr>
                <w:b/>
              </w:rPr>
              <w:t xml:space="preserve">Recortes 2020 (I-20 a III-20)</w:t>
            </w:r>
          </w:p>
        </w:tc>
        <w:tc>
          <w:tcPr>
            <w:tcW w:type="dxa" w:w="1200"/>
          </w:tcPr>
          <w:p>
            <w:pPr>
              <w:keepNext/>
            </w:pPr>
            <w:r>
              <w:rPr/>
              <w:t xml:space="preserve">3</w:t>
            </w:r>
          </w:p>
        </w:tc>
        <w:tc>
          <w:tcPr>
            <w:tcW w:type="dxa" w:w="1400"/>
          </w:tcPr>
          <w:p>
            <w:pPr>
              <w:keepNext/>
            </w:pPr>
            <w:r>
              <w:rPr/>
              <w:t xml:space="preserve">5.25</w:t>
            </w:r>
          </w:p>
        </w:tc>
        <w:tc>
          <w:tcPr>
            <w:tcW w:type="dxa" w:w="1400"/>
          </w:tcPr>
          <w:p>
            <w:pPr>
              <w:keepNext/>
            </w:pPr>
            <w:r>
              <w:rPr/>
              <w:t xml:space="preserve">6.12</w:t>
            </w:r>
          </w:p>
        </w:tc>
        <w:tc>
          <w:tcPr>
            <w:tcW w:type="dxa" w:w="1400"/>
          </w:tcPr>
          <w:p>
            <w:pPr>
              <w:keepNext/>
            </w:pPr>
            <w:r>
              <w:rPr/>
              <w:t xml:space="preserve">12.7</w:t>
            </w:r>
          </w:p>
        </w:tc>
        <w:tc>
          <w:tcPr>
            <w:tcW w:type="dxa" w:w="1400"/>
          </w:tcPr>
          <w:p>
            <w:pPr>
              <w:keepNext/>
            </w:pPr>
            <w:r>
              <w:rPr/>
              <w:t xml:space="preserve">51.3</w:t>
            </w:r>
          </w:p>
        </w:tc>
      </w:tr>
      <w:tr>
        <w:tc>
          <w:tcPr>
            <w:tcW w:type="dxa" w:w="2560"/>
          </w:tcPr>
          <w:p>
            <w:pPr>
              <w:keepNext/>
            </w:pPr>
            <w:r>
              <w:rPr>
                <w:b/>
              </w:rPr>
              <w:t xml:space="preserve">Pre-alzas (IV-20 a I-21)</w:t>
            </w:r>
          </w:p>
        </w:tc>
        <w:tc>
          <w:tcPr>
            <w:tcW w:type="dxa" w:w="1200"/>
          </w:tcPr>
          <w:p>
            <w:pPr>
              <w:keepNext/>
            </w:pPr>
            <w:r>
              <w:rPr/>
              <w:t xml:space="preserve">2</w:t>
            </w:r>
          </w:p>
        </w:tc>
        <w:tc>
          <w:tcPr>
            <w:tcW w:type="dxa" w:w="1400"/>
          </w:tcPr>
          <w:p>
            <w:pPr>
              <w:keepNext/>
            </w:pPr>
            <w:r>
              <w:rPr/>
              <w:t xml:space="preserve">4.13</w:t>
            </w:r>
          </w:p>
        </w:tc>
        <w:tc>
          <w:tcPr>
            <w:tcW w:type="dxa" w:w="1400"/>
          </w:tcPr>
          <w:p>
            <w:pPr>
              <w:keepNext/>
            </w:pPr>
            <w:r>
              <w:rPr/>
              <w:t xml:space="preserve">4.44</w:t>
            </w:r>
          </w:p>
        </w:tc>
        <w:tc>
          <w:tcPr>
            <w:tcW w:type="dxa" w:w="1400"/>
          </w:tcPr>
          <w:p>
            <w:pPr>
              <w:keepNext/>
            </w:pPr>
            <w:r>
              <w:rPr/>
              <w:t xml:space="preserve">14.6</w:t>
            </w:r>
          </w:p>
        </w:tc>
        <w:tc>
          <w:tcPr>
            <w:tcW w:type="dxa" w:w="1400"/>
          </w:tcPr>
          <w:p>
            <w:pPr>
              <w:keepNext/>
            </w:pPr>
            <w:r>
              <w:rPr/>
              <w:t xml:space="preserve">49.5</w:t>
            </w:r>
          </w:p>
        </w:tc>
      </w:tr>
      <w:tr>
        <w:tc>
          <w:tcPr>
            <w:tcW w:type="dxa" w:w="2560"/>
          </w:tcPr>
          <w:p>
            <w:pPr>
              <w:keepNext/>
            </w:pPr>
            <w:r>
              <w:rPr>
                <w:b/>
              </w:rPr>
              <w:t xml:space="preserve">Alzas (II-21 a I-23)</w:t>
            </w:r>
          </w:p>
        </w:tc>
        <w:tc>
          <w:tcPr>
            <w:tcW w:type="dxa" w:w="1200"/>
          </w:tcPr>
          <w:p>
            <w:pPr>
              <w:keepNext/>
            </w:pPr>
            <w:r>
              <w:rPr/>
              <w:t xml:space="preserve">8</w:t>
            </w:r>
          </w:p>
        </w:tc>
        <w:tc>
          <w:tcPr>
            <w:tcW w:type="dxa" w:w="1400"/>
          </w:tcPr>
          <w:p>
            <w:pPr>
              <w:keepNext/>
            </w:pPr>
            <w:r>
              <w:rPr/>
              <w:t xml:space="preserve">7.47</w:t>
            </w:r>
          </w:p>
        </w:tc>
        <w:tc>
          <w:tcPr>
            <w:tcW w:type="dxa" w:w="1400"/>
          </w:tcPr>
          <w:p>
            <w:pPr>
              <w:keepNext/>
            </w:pPr>
            <w:r>
              <w:rPr/>
              <w:t xml:space="preserve">7.10</w:t>
            </w:r>
          </w:p>
        </w:tc>
        <w:tc>
          <w:tcPr>
            <w:tcW w:type="dxa" w:w="1400"/>
          </w:tcPr>
          <w:p>
            <w:pPr>
              <w:keepNext/>
            </w:pPr>
            <w:r>
              <w:rPr/>
              <w:t xml:space="preserve">13.6</w:t>
            </w:r>
          </w:p>
        </w:tc>
        <w:tc>
          <w:tcPr>
            <w:tcW w:type="dxa" w:w="1400"/>
          </w:tcPr>
          <w:p>
            <w:pPr>
              <w:keepNext/>
            </w:pPr>
            <w:r>
              <w:rPr/>
              <w:t xml:space="preserve">54.4</w:t>
            </w:r>
          </w:p>
        </w:tc>
      </w:tr>
      <w:tr>
        <w:tc>
          <w:tcPr>
            <w:tcW w:type="dxa" w:w="2560"/>
          </w:tcPr>
          <w:p>
            <w:pPr>
              <w:keepNext/>
            </w:pPr>
            <w:r>
              <w:rPr>
                <w:b/>
              </w:rPr>
              <w:t xml:space="preserve">Meseta 11.25% (II-23 a IV-23)</w:t>
            </w:r>
          </w:p>
        </w:tc>
        <w:tc>
          <w:tcPr>
            <w:tcW w:type="dxa" w:w="1200"/>
          </w:tcPr>
          <w:p>
            <w:pPr>
              <w:keepNext/>
            </w:pPr>
            <w:r>
              <w:rPr/>
              <w:t xml:space="preserve">3</w:t>
            </w:r>
          </w:p>
        </w:tc>
        <w:tc>
          <w:tcPr>
            <w:tcW w:type="dxa" w:w="1400"/>
          </w:tcPr>
          <w:p>
            <w:pPr>
              <w:keepNext/>
            </w:pPr>
            <w:r>
              <w:rPr/>
              <w:t xml:space="preserve">11.25</w:t>
            </w:r>
          </w:p>
        </w:tc>
        <w:tc>
          <w:tcPr>
            <w:tcW w:type="dxa" w:w="1400"/>
          </w:tcPr>
          <w:p>
            <w:pPr>
              <w:keepNext/>
            </w:pPr>
            <w:r>
              <w:rPr/>
              <w:t xml:space="preserve">11.51</w:t>
            </w:r>
          </w:p>
        </w:tc>
        <w:tc>
          <w:tcPr>
            <w:tcW w:type="dxa" w:w="1400"/>
          </w:tcPr>
          <w:p>
            <w:pPr>
              <w:keepNext/>
            </w:pPr>
            <w:r>
              <w:rPr/>
              <w:t xml:space="preserve">15.2</w:t>
            </w:r>
          </w:p>
        </w:tc>
        <w:tc>
          <w:tcPr>
            <w:tcW w:type="dxa" w:w="1400"/>
          </w:tcPr>
          <w:p>
            <w:pPr>
              <w:keepNext/>
            </w:pPr>
            <w:r>
              <w:rPr/>
              <w:t xml:space="preserve">57.6</w:t>
            </w:r>
          </w:p>
        </w:tc>
      </w:tr>
      <w:tr>
        <w:tc>
          <w:tcPr>
            <w:tcW w:type="dxa" w:w="2560"/>
          </w:tcPr>
          <w:p>
            <w:pPr>
              <w:keepNext/>
            </w:pPr>
            <w:r>
              <w:rPr>
                <w:b/>
              </w:rPr>
              <w:t xml:space="preserve">Recortes (I-24 a II-26)</w:t>
            </w:r>
          </w:p>
        </w:tc>
        <w:tc>
          <w:tcPr>
            <w:tcW w:type="dxa" w:w="1200"/>
          </w:tcPr>
          <w:p>
            <w:pPr>
              <w:keepNext/>
            </w:pPr>
            <w:r>
              <w:rPr/>
              <w:t xml:space="preserve">10</w:t>
            </w:r>
          </w:p>
        </w:tc>
        <w:tc>
          <w:tcPr>
            <w:tcW w:type="dxa" w:w="1400"/>
          </w:tcPr>
          <w:p>
            <w:pPr>
              <w:keepNext/>
            </w:pPr>
            <w:r>
              <w:rPr/>
              <w:t xml:space="preserve">8.73</w:t>
            </w:r>
          </w:p>
        </w:tc>
        <w:tc>
          <w:tcPr>
            <w:tcW w:type="dxa" w:w="1400"/>
          </w:tcPr>
          <w:p>
            <w:pPr>
              <w:keepNext/>
            </w:pPr>
            <w:r>
              <w:rPr/>
              <w:t xml:space="preserve">9.33</w:t>
            </w:r>
          </w:p>
        </w:tc>
        <w:tc>
          <w:tcPr>
            <w:tcW w:type="dxa" w:w="1400"/>
          </w:tcPr>
          <w:p>
            <w:pPr>
              <w:keepNext/>
            </w:pPr>
            <w:r>
              <w:rPr/>
              <w:t xml:space="preserve">13.6</w:t>
            </w:r>
          </w:p>
        </w:tc>
        <w:tc>
          <w:tcPr>
            <w:tcW w:type="dxa" w:w="1400"/>
          </w:tcPr>
          <w:p>
            <w:pPr>
              <w:keepNext/>
            </w:pPr>
            <w:r>
              <w:rPr/>
              <w:t xml:space="preserve">55.1</w:t>
            </w:r>
          </w:p>
        </w:tc>
      </w:tr>
      <w:tr>
        <w:tc>
          <w:tcPr>
            <w:tcW w:type="dxa" w:w="2560"/>
          </w:tcPr>
          <w:p>
            <w:pPr/>
            <w:r>
              <w:rPr>
                <w:b/>
              </w:rPr>
              <w:t xml:space="preserve">Pausa 6.50% (III-26)</w:t>
            </w:r>
          </w:p>
        </w:tc>
        <w:tc>
          <w:tcPr>
            <w:tcW w:type="dxa" w:w="1200"/>
          </w:tcPr>
          <w:p>
            <w:pPr/>
            <w:r>
              <w:rPr/>
              <w:t xml:space="preserve">0</w:t>
            </w:r>
          </w:p>
        </w:tc>
        <w:tc>
          <w:tcPr>
            <w:tcW w:type="dxa" w:w="1400"/>
          </w:tcPr>
          <w:p>
            <w:pPr/>
            <w:r>
              <w:rPr/>
              <w:t xml:space="preserve">6.50</w:t>
            </w:r>
          </w:p>
        </w:tc>
        <w:tc>
          <w:tcPr>
            <w:tcW w:type="dxa" w:w="1400"/>
          </w:tcPr>
          <w:p>
            <w:pPr/>
            <w:r>
              <w:rPr/>
              <w:t xml:space="preserve">6.76</w:t>
            </w:r>
          </w:p>
        </w:tc>
        <w:tc>
          <w:tcPr>
            <w:tcW w:type="dxa" w:w="1400"/>
          </w:tcPr>
          <w:p>
            <w:pPr/>
            <w:r>
              <w:rPr/>
              <w:t xml:space="preserve">n.d.</w:t>
            </w:r>
          </w:p>
        </w:tc>
        <w:tc>
          <w:tcPr>
            <w:tcW w:type="dxa" w:w="1400"/>
          </w:tcPr>
          <w:p>
            <w:pPr/>
            <w:r>
              <w:rPr/>
              <w:t xml:space="preserve">n.d.</w:t>
            </w:r>
          </w:p>
        </w:tc>
      </w:tr>
    </w:tbl>
    <w:p>
      <w:pPr>
        <w:pStyle w:val="Prrafodelista"/>
        <w:numPr>
          <w:ilvl w:val="0"/>
          <w:numId w:val="8"/>
        </w:numPr>
        <w:spacing w:before="160"/>
      </w:pPr>
      <w:r>
        <w:rPr>
          <w:b/>
        </w:rPr>
        <w:t xml:space="preserve">Calendario. </w:t>
      </w:r>
      <w:r>
        <w:rPr/>
        <w:t xml:space="preserve">En 2020 Banxico recortó de 7.25% a 4.25% por la pandemia. Luego subió 15 veces desde 4.00% (junio de 2021) hasta 11.25% (marzo de 2023), la mantuvo un año y recortó desde marzo de 2024. Tras recortes en marzo y mayo de 2026 quedó en 6.50% y la mantuvo el 24 de septiembre (</w:t>
      </w:r>
      <w:hyperlink r:id="rId31" w:history="1">
        <w:r>
          <w:rPr>
            <w:rStyle w:val="Hipervnculo"/>
          </w:rPr>
          <w:t xml:space="preserve">Banxico vía México ¿cómo vamos?</w:t>
        </w:r>
      </w:hyperlink>
      <w:r>
        <w:rPr/>
        <w:t xml:space="preserve">, </w:t>
      </w:r>
      <w:hyperlink r:id="rId8" w:history="1">
        <w:r>
          <w:rPr>
            <w:rStyle w:val="Hipervnculo"/>
          </w:rPr>
          <w:t xml:space="preserve">El CEO</w:t>
        </w:r>
      </w:hyperlink>
      <w:r>
        <w:rPr/>
        <w:t xml:space="preserve">).</w:t>
      </w:r>
    </w:p>
    <w:p>
      <w:pPr>
        <w:pStyle w:val="Prrafodelista"/>
        <w:numPr>
          <w:ilvl w:val="0"/>
          <w:numId w:val="8"/>
        </w:numPr>
      </w:pPr>
      <w:r>
        <w:rPr>
          <w:b/>
        </w:rPr>
        <w:t xml:space="preserve">TIIE. </w:t>
      </w:r>
      <w:r>
        <w:rPr/>
        <w:t xml:space="preserve">La TIIE a 28 días cerró III-26 en </w:t>
      </w:r>
      <w:r>
        <w:rPr/>
        <w:t xml:space="preserve">6.82%</w:t>
      </w:r>
      <w:r>
        <w:rPr/>
        <w:t xml:space="preserve">, 0.32 pp arriba de la tasa objetivo; en todo el periodo la diferencia promedio fue 0.24 pp. Desde el 1 de enero de 2025 los créditos nuevos en pesos se referencian a la TIIE de fondeo (</w:t>
      </w:r>
      <w:hyperlink r:id="rId32" w:history="1">
        <w:r>
          <w:rPr>
            <w:rStyle w:val="Hipervnculo"/>
          </w:rPr>
          <w:t xml:space="preserve">BDO</w:t>
        </w:r>
      </w:hyperlink>
      <w:r>
        <w:rPr/>
        <w:t xml:space="preserve">), que promedió 6.71% en 2026. Las series están en las hojas Series y TIIE del Excel.</w:t>
      </w:r>
    </w:p>
    <w:p>
      <w:pPr>
        <w:pStyle w:val="Prrafodelista"/>
        <w:numPr>
          <w:ilvl w:val="0"/>
          <w:numId w:val="8"/>
        </w:numPr>
      </w:pPr>
      <w:r>
        <w:rPr>
          <w:b/>
        </w:rPr>
        <w:t xml:space="preserve">Correlación. </w:t>
      </w:r>
      <w:r>
        <w:rPr/>
        <w:t xml:space="preserve">Entre crédito nuevo y tasa objetivo es +0.48 (+0.43 con un trimestre de rezago) y con la TIIE +0.45, en 26 trimestres que incluyen la pandemia y la recuperación. Es positiva, lo contrario de lo que se esperaría si la tasa frenara el crédito, y no permite hablar de causalidad.</w:t>
      </w:r>
    </w:p>
    <w:p>
      <w:pPr>
        <w:pStyle w:val="Prrafodelista"/>
        <w:numPr>
          <w:ilvl w:val="0"/>
          <w:numId w:val="8"/>
        </w:numPr>
      </w:pPr>
      <w:r>
        <w:rPr>
          <w:b/>
        </w:rPr>
        <w:t xml:space="preserve">Lectura. </w:t>
      </w:r>
      <w:r>
        <w:rPr/>
        <w:t xml:space="preserve">Lo que pesa más son la demanda (ventas, situación económica) y, en 2026, la disposición de los bancos a prestarle a las pymes. La transmisión de los recortes al costo percibido se frenó: el índice de tasas volvió a caer en 2026.</w:t>
      </w:r>
    </w:p>
    <w:p>
      <w:pPr>
        <w:pStyle w:val="Ttulo2"/>
        <w:keepNext/>
      </w:pPr>
      <w:r>
        <w:rPr/>
        <w:t xml:space="preserve">Correcciones al análisis previo</w:t>
      </w:r>
    </w:p>
    <w:p>
      <w:pPr>
        <w:keepNext/>
      </w:pPr>
      <w:r>
        <w:rPr/>
        <w:t xml:space="preserve">Esta versión atiende las correcciones del asesor (octubre de 2026) e incorpora las series del SIE. El estado de cada una está en la hoja Verificación del Excel.</w:t>
      </w:r>
    </w:p>
    <w:tbl>
      <w:tblPr>
        <w:tblStyle w:val="Tablaconcuadrcula"/>
        <w:tblW w:w="9360" w:type="dxa"/>
        <w:tblLayout w:type="fixed"/>
        <w:tblLook w:val="0420" w:firstRow="1" w:lastRow="0" w:firstColumn="0" w:lastColumn="0" w:noHBand="0" w:noVBand="1"/>
      </w:tblPr>
      <w:tblGrid>
        <w:gridCol w:w="3700"/>
        <w:gridCol w:w="3660"/>
        <w:gridCol w:w="2000"/>
      </w:tblGrid>
      <w:tr>
        <w:trPr>
          <w:tblHeader/>
        </w:trPr>
        <w:tc>
          <w:tcPr>
            <w:tcW w:type="dxa" w:w="3700"/>
            <w:shd w:val="clear" w:color="auto" w:fill="F2F2F2"/>
          </w:tcPr>
          <w:p>
            <w:pPr>
              <w:keepNext/>
            </w:pPr>
            <w:r>
              <w:rPr/>
              <w:t xml:space="preserve">Corrección pedida</w:t>
            </w:r>
          </w:p>
        </w:tc>
        <w:tc>
          <w:tcPr>
            <w:tcW w:type="dxa" w:w="3660"/>
            <w:shd w:val="clear" w:color="auto" w:fill="F2F2F2"/>
          </w:tcPr>
          <w:p>
            <w:pPr>
              <w:keepNext/>
            </w:pPr>
            <w:r>
              <w:rPr/>
              <w:t xml:space="preserve">Qué se hizo</w:t>
            </w:r>
          </w:p>
        </w:tc>
        <w:tc>
          <w:tcPr>
            <w:tcW w:type="dxa" w:w="2000"/>
            <w:shd w:val="clear" w:color="auto" w:fill="F2F2F2"/>
          </w:tcPr>
          <w:p>
            <w:pPr>
              <w:keepNext/>
            </w:pPr>
            <w:r>
              <w:rPr/>
              <w:t xml:space="preserve">Estado</w:t>
            </w:r>
          </w:p>
        </w:tc>
      </w:tr>
      <w:tr>
        <w:tc>
          <w:tcPr>
            <w:tcW w:type="dxa" w:w="3700"/>
          </w:tcPr>
          <w:p>
            <w:pPr>
              <w:keepNext/>
            </w:pPr>
            <w:r>
              <w:rPr/>
              <w:t xml:space="preserve">Gráfica del cuadro de la página 3 (brecha por tamaño)</w:t>
            </w:r>
          </w:p>
        </w:tc>
        <w:tc>
          <w:tcPr>
            <w:tcW w:type="dxa" w:w="3660"/>
          </w:tcPr>
          <w:p>
            <w:pPr>
              <w:keepNext/>
            </w:pPr>
            <w:r>
              <w:rPr/>
              <w:t xml:space="preserve">Gráficas 3 y 4, Cuadros 1 a 3</w:t>
            </w:r>
          </w:p>
        </w:tc>
        <w:tc>
          <w:tcPr>
            <w:tcW w:type="dxa" w:w="2000"/>
          </w:tcPr>
          <w:p>
            <w:pPr>
              <w:keepNext/>
            </w:pPr>
            <w:r>
              <w:rPr/>
              <w:t xml:space="preserve">Hecho</w:t>
            </w:r>
          </w:p>
        </w:tc>
      </w:tr>
      <w:tr>
        <w:tc>
          <w:tcPr>
            <w:tcW w:type="dxa" w:w="3700"/>
          </w:tcPr>
          <w:p>
            <w:pPr>
              <w:keepNext/>
            </w:pPr>
            <w:r>
              <w:rPr/>
              <w:t xml:space="preserve">Base de datos de las fuentes de las imágenes</w:t>
            </w:r>
          </w:p>
        </w:tc>
        <w:tc>
          <w:tcPr>
            <w:tcW w:type="dxa" w:w="3660"/>
          </w:tcPr>
          <w:p>
            <w:pPr>
              <w:keepNext/>
            </w:pPr>
            <w:r>
              <w:rPr/>
              <w:t xml:space="preserve">Hoja Datos de imágenes del Excel</w:t>
            </w:r>
          </w:p>
        </w:tc>
        <w:tc>
          <w:tcPr>
            <w:tcW w:type="dxa" w:w="2000"/>
          </w:tcPr>
          <w:p>
            <w:pPr>
              <w:keepNext/>
            </w:pPr>
            <w:r>
              <w:rPr/>
              <w:t xml:space="preserve">Hecho</w:t>
            </w:r>
          </w:p>
        </w:tc>
      </w:tr>
      <w:tr>
        <w:tc>
          <w:tcPr>
            <w:tcW w:type="dxa" w:w="3700"/>
          </w:tcPr>
          <w:p>
            <w:pPr>
              <w:keepNext/>
            </w:pPr>
            <w:r>
              <w:rPr/>
              <w:t xml:space="preserve">Hipótesis 2020-2026</w:t>
            </w:r>
          </w:p>
        </w:tc>
        <w:tc>
          <w:tcPr>
            <w:tcW w:type="dxa" w:w="3660"/>
          </w:tcPr>
          <w:p>
            <w:pPr>
              <w:keepNext/>
            </w:pPr>
            <w:r>
              <w:rPr/>
              <w:t xml:space="preserve">Sección de hipótesis y hoja Hipótesis</w:t>
            </w:r>
          </w:p>
        </w:tc>
        <w:tc>
          <w:tcPr>
            <w:tcW w:type="dxa" w:w="2000"/>
          </w:tcPr>
          <w:p>
            <w:pPr>
              <w:keepNext/>
            </w:pPr>
            <w:r>
              <w:rPr/>
              <w:t xml:space="preserve">Hecho</w:t>
            </w:r>
          </w:p>
        </w:tc>
      </w:tr>
      <w:tr>
        <w:tc>
          <w:tcPr>
            <w:tcW w:type="dxa" w:w="3700"/>
          </w:tcPr>
          <w:p>
            <w:pPr>
              <w:keepNext/>
            </w:pPr>
            <w:r>
              <w:rPr/>
              <w:t xml:space="preserve">Base y gráfico de tendencia; uno para grandes y otro para pymes</w:t>
            </w:r>
          </w:p>
        </w:tc>
        <w:tc>
          <w:tcPr>
            <w:tcW w:type="dxa" w:w="3660"/>
          </w:tcPr>
          <w:p>
            <w:pPr>
              <w:keepNext/>
            </w:pPr>
            <w:r>
              <w:rPr/>
              <w:t xml:space="preserve">Gráficas 1 y 3; hojas Serie completa y Por tamaño</w:t>
            </w:r>
          </w:p>
        </w:tc>
        <w:tc>
          <w:tcPr>
            <w:tcW w:type="dxa" w:w="2000"/>
          </w:tcPr>
          <w:p>
            <w:pPr>
              <w:keepNext/>
            </w:pPr>
            <w:r>
              <w:rPr/>
              <w:t xml:space="preserve">Hecho</w:t>
            </w:r>
          </w:p>
        </w:tc>
      </w:tr>
      <w:tr>
        <w:tc>
          <w:tcPr>
            <w:tcW w:type="dxa" w:w="3700"/>
          </w:tcPr>
          <w:p>
            <w:pPr>
              <w:keepNext/>
            </w:pPr>
            <w:r>
              <w:rPr/>
              <w:t xml:space="preserve">Cuadro de gran empresa y de medianas y pequeñas</w:t>
            </w:r>
          </w:p>
        </w:tc>
        <w:tc>
          <w:tcPr>
            <w:tcW w:type="dxa" w:w="3660"/>
          </w:tcPr>
          <w:p>
            <w:pPr>
              <w:keepNext/>
            </w:pPr>
            <w:r>
              <w:rPr/>
              <w:t xml:space="preserve">Cuadros 1 y 2 (anuales), Cuadro 3 (II trimestre) y hoja Por tamaño</w:t>
            </w:r>
          </w:p>
        </w:tc>
        <w:tc>
          <w:tcPr>
            <w:tcW w:type="dxa" w:w="2000"/>
          </w:tcPr>
          <w:p>
            <w:pPr>
              <w:keepNext/>
            </w:pPr>
            <w:r>
              <w:rPr/>
              <w:t xml:space="preserve">Hecho</w:t>
            </w:r>
          </w:p>
        </w:tc>
      </w:tr>
      <w:tr>
        <w:tc>
          <w:tcPr>
            <w:tcW w:type="dxa" w:w="3700"/>
          </w:tcPr>
          <w:p>
            <w:pPr>
              <w:keepNext/>
            </w:pPr>
            <w:r>
              <w:rPr/>
              <w:t xml:space="preserve">Componente de exportaciones</w:t>
            </w:r>
          </w:p>
        </w:tc>
        <w:tc>
          <w:tcPr>
            <w:tcW w:type="dxa" w:w="3660"/>
          </w:tcPr>
          <w:p>
            <w:pPr>
              <w:keepNext/>
            </w:pPr>
            <w:r>
              <w:rPr/>
              <w:t xml:space="preserve">Destino del crédito a comercio exterior (el SIE no separa exportadoras)</w:t>
            </w:r>
          </w:p>
        </w:tc>
        <w:tc>
          <w:tcPr>
            <w:tcW w:type="dxa" w:w="2000"/>
          </w:tcPr>
          <w:p>
            <w:pPr>
              <w:keepNext/>
            </w:pPr>
            <w:r>
              <w:rPr/>
              <w:t xml:space="preserve">Hecho con proxy</w:t>
            </w:r>
          </w:p>
        </w:tc>
      </w:tr>
      <w:tr>
        <w:tc>
          <w:tcPr>
            <w:tcW w:type="dxa" w:w="3700"/>
          </w:tcPr>
          <w:p>
            <w:pPr>
              <w:keepNext/>
            </w:pPr>
            <w:r>
              <w:rPr/>
              <w:t xml:space="preserve">Crédito nuevo y brecha por año, 2020 a III-2026</w:t>
            </w:r>
          </w:p>
        </w:tc>
        <w:tc>
          <w:tcPr>
            <w:tcW w:type="dxa" w:w="3660"/>
          </w:tcPr>
          <w:p>
            <w:pPr>
              <w:keepNext/>
            </w:pPr>
            <w:r>
              <w:rPr/>
              <w:t xml:space="preserve">Tablas anuales; 2020 y 2026 por trimestre</w:t>
            </w:r>
          </w:p>
        </w:tc>
        <w:tc>
          <w:tcPr>
            <w:tcW w:type="dxa" w:w="2000"/>
          </w:tcPr>
          <w:p>
            <w:pPr>
              <w:keepNext/>
            </w:pPr>
            <w:r>
              <w:rPr/>
              <w:t xml:space="preserve">Hecho; III-26 sale el 19-nov</w:t>
            </w:r>
          </w:p>
        </w:tc>
      </w:tr>
      <w:tr>
        <w:tc>
          <w:tcPr>
            <w:tcW w:type="dxa" w:w="3700"/>
          </w:tcPr>
          <w:p>
            <w:pPr>
              <w:keepNext/>
            </w:pPr>
            <w:r>
              <w:rPr/>
              <w:t xml:space="preserve">Rechazo y costo por pymes, grandes y por año</w:t>
            </w:r>
          </w:p>
        </w:tc>
        <w:tc>
          <w:tcPr>
            <w:tcW w:type="dxa" w:w="3660"/>
          </w:tcPr>
          <w:p>
            <w:pPr>
              <w:keepNext/>
            </w:pPr>
            <w:r>
              <w:rPr/>
              <w:t xml:space="preserve">Tabla anual, Gráficas 5 y 6, Cuadro 3</w:t>
            </w:r>
          </w:p>
        </w:tc>
        <w:tc>
          <w:tcPr>
            <w:tcW w:type="dxa" w:w="2000"/>
          </w:tcPr>
          <w:p>
            <w:pPr>
              <w:keepNext/>
            </w:pPr>
            <w:r>
              <w:rPr/>
              <w:t xml:space="preserve">Hecho; por tamaño, II trimestres</w:t>
            </w:r>
          </w:p>
        </w:tc>
      </w:tr>
      <w:tr>
        <w:tc>
          <w:tcPr>
            <w:tcW w:type="dxa" w:w="3700"/>
          </w:tcPr>
          <w:p>
            <w:pPr>
              <w:keepNext/>
            </w:pPr>
            <w:r>
              <w:rPr/>
              <w:t xml:space="preserve">Añadir la TIIE</w:t>
            </w:r>
          </w:p>
        </w:tc>
        <w:tc>
          <w:tcPr>
            <w:tcW w:type="dxa" w:w="3660"/>
          </w:tcPr>
          <w:p>
            <w:pPr>
              <w:keepNext/>
            </w:pPr>
            <w:r>
              <w:rPr/>
              <w:t xml:space="preserve">TIIE 28 y de fondeo en el Excel, tablas y Gráfica 7</w:t>
            </w:r>
          </w:p>
        </w:tc>
        <w:tc>
          <w:tcPr>
            <w:tcW w:type="dxa" w:w="2000"/>
          </w:tcPr>
          <w:p>
            <w:pPr>
              <w:keepNext/>
            </w:pPr>
            <w:r>
              <w:rPr/>
              <w:t xml:space="preserve">Hecho</w:t>
            </w:r>
          </w:p>
        </w:tc>
      </w:tr>
      <w:tr>
        <w:tc>
          <w:tcPr>
            <w:tcW w:type="dxa" w:w="3700"/>
          </w:tcPr>
          <w:p>
            <w:pPr>
              <w:keepNext/>
            </w:pPr>
            <w:r>
              <w:rPr/>
              <w:t xml:space="preserve">Variables, porcentajes y si los datos son acumulados</w:t>
            </w:r>
          </w:p>
        </w:tc>
        <w:tc>
          <w:tcPr>
            <w:tcW w:type="dxa" w:w="3660"/>
          </w:tcPr>
          <w:p>
            <w:pPr>
              <w:keepNext/>
            </w:pPr>
            <w:r>
              <w:rPr/>
              <w:t xml:space="preserve">Sección de variables; no son acumulados</w:t>
            </w:r>
          </w:p>
        </w:tc>
        <w:tc>
          <w:tcPr>
            <w:tcW w:type="dxa" w:w="2000"/>
          </w:tcPr>
          <w:p>
            <w:pPr>
              <w:keepNext/>
            </w:pPr>
            <w:r>
              <w:rPr/>
              <w:t xml:space="preserve">Hecho</w:t>
            </w:r>
          </w:p>
        </w:tc>
      </w:tr>
      <w:tr>
        <w:tc>
          <w:tcPr>
            <w:tcW w:type="dxa" w:w="3700"/>
          </w:tcPr>
          <w:p>
            <w:pPr>
              <w:keepNext/>
            </w:pPr>
            <w:r>
              <w:rPr/>
              <w:t xml:space="preserve">Fuente debajo de cada gráfica</w:t>
            </w:r>
          </w:p>
        </w:tc>
        <w:tc>
          <w:tcPr>
            <w:tcW w:type="dxa" w:w="3660"/>
          </w:tcPr>
          <w:p>
            <w:pPr>
              <w:keepNext/>
            </w:pPr>
            <w:r>
              <w:rPr/>
              <w:t xml:space="preserve">Línea de fuente y hoja del Excel bajo cada gráfica</w:t>
            </w:r>
          </w:p>
        </w:tc>
        <w:tc>
          <w:tcPr>
            <w:tcW w:type="dxa" w:w="2000"/>
          </w:tcPr>
          <w:p>
            <w:pPr>
              <w:keepNext/>
            </w:pPr>
            <w:r>
              <w:rPr/>
              <w:t xml:space="preserve">Hecho</w:t>
            </w:r>
          </w:p>
        </w:tc>
      </w:tr>
      <w:tr>
        <w:tc>
          <w:tcPr>
            <w:tcW w:type="dxa" w:w="3700"/>
          </w:tcPr>
          <w:p>
            <w:pPr/>
            <w:r>
              <w:rPr/>
              <w:t xml:space="preserve">2020: faltaban I, II y III trimestre</w:t>
            </w:r>
          </w:p>
        </w:tc>
        <w:tc>
          <w:tcPr>
            <w:tcW w:type="dxa" w:w="3660"/>
          </w:tcPr>
          <w:p>
            <w:pPr/>
            <w:r>
              <w:rPr/>
              <w:t xml:space="preserve">Los 4 trimestres con el diseño vigente del SIE</w:t>
            </w:r>
          </w:p>
        </w:tc>
        <w:tc>
          <w:tcPr>
            <w:tcW w:type="dxa" w:w="2000"/>
          </w:tcPr>
          <w:p>
            <w:pPr/>
            <w:r>
              <w:rPr/>
              <w:t xml:space="preserve">Hecho</w:t>
            </w:r>
          </w:p>
        </w:tc>
      </w:tr>
    </w:tbl>
    <w:p>
      <w:pPr>
        <w:keepNext/>
        <w:spacing w:before="160"/>
      </w:pPr>
      <w:r>
        <w:rPr>
          <w:b/>
        </w:rPr>
        <w:t xml:space="preserve">Correcciones de la revisión anterior. </w:t>
      </w:r>
      <w:r>
        <w:rPr/>
        <w:t xml:space="preserve">Se conservan como estaban.</w:t>
      </w:r>
    </w:p>
    <w:tbl>
      <w:tblPr>
        <w:tblStyle w:val="Tablaconcuadrcula"/>
        <w:tblW w:w="9360" w:type="dxa"/>
        <w:tblLayout w:type="fixed"/>
        <w:tblLook w:val="0420" w:firstRow="1" w:lastRow="0" w:firstColumn="0" w:lastColumn="0" w:noHBand="0" w:noVBand="1"/>
      </w:tblPr>
      <w:tblGrid>
        <w:gridCol w:w="3120"/>
        <w:gridCol w:w="3120"/>
        <w:gridCol w:w="3120"/>
      </w:tblGrid>
      <w:tr>
        <w:trPr>
          <w:tblHeader/>
        </w:trPr>
        <w:tc>
          <w:tcPr>
            <w:tcW w:type="dxa" w:w="3120"/>
            <w:shd w:val="clear" w:color="auto" w:fill="F2F2F2"/>
          </w:tcPr>
          <w:p>
            <w:pPr>
              <w:keepNext/>
            </w:pPr>
            <w:r>
              <w:rPr/>
              <w:t xml:space="preserve">Afirmación previa</w:t>
            </w:r>
          </w:p>
        </w:tc>
        <w:tc>
          <w:tcPr>
            <w:tcW w:type="dxa" w:w="3120"/>
            <w:shd w:val="clear" w:color="auto" w:fill="F2F2F2"/>
          </w:tcPr>
          <w:p>
            <w:pPr>
              <w:keepNext/>
            </w:pPr>
            <w:r>
              <w:rPr/>
              <w:t xml:space="preserve">Dato verificado</w:t>
            </w:r>
          </w:p>
        </w:tc>
        <w:tc>
          <w:tcPr>
            <w:tcW w:type="dxa" w:w="3120"/>
            <w:shd w:val="clear" w:color="auto" w:fill="F2F2F2"/>
          </w:tcPr>
          <w:p>
            <w:pPr>
              <w:keepNext/>
            </w:pPr>
            <w:r>
              <w:rPr/>
              <w:t xml:space="preserve">Qué cambia</w:t>
            </w:r>
          </w:p>
        </w:tc>
      </w:tr>
      <w:tr>
        <w:tc>
          <w:tcPr>
            <w:tcW w:type="dxa" w:w="3120"/>
          </w:tcPr>
          <w:p>
            <w:pPr>
              <w:keepNext/>
            </w:pPr>
            <w:r>
              <w:rPr/>
              <w:t xml:space="preserve">Rechazos: ~6% (IV-23), ~9% (I-24), ~20% (IV-22), ~24% (II-26)</w:t>
            </w:r>
          </w:p>
        </w:tc>
        <w:tc>
          <w:tcPr>
            <w:tcW w:type="dxa" w:w="3120"/>
          </w:tcPr>
          <w:p>
            <w:pPr>
              <w:keepNext/>
            </w:pPr>
            <w:r>
              <w:rPr/>
              <w:t xml:space="preserve">Serie III-22 a II-26 completa</w:t>
            </w:r>
          </w:p>
        </w:tc>
        <w:tc>
          <w:tcPr>
            <w:tcW w:type="dxa" w:w="3120"/>
          </w:tcPr>
          <w:p>
            <w:pPr>
              <w:keepNext/>
            </w:pPr>
            <w:r>
              <w:rPr/>
              <w:t xml:space="preserve">El orden estaba revuelto; I-26 (22.5%) y II-26 (24.3%) son los dos más altos</w:t>
            </w:r>
          </w:p>
        </w:tc>
      </w:tr>
      <w:tr>
        <w:tc>
          <w:tcPr>
            <w:tcW w:type="dxa" w:w="3120"/>
          </w:tcPr>
          <w:p>
            <w:pPr>
              <w:keepNext/>
            </w:pPr>
            <w:r>
              <w:rPr/>
              <w:t xml:space="preserve">Índice de tasas: solo seis puntos</w:t>
            </w:r>
          </w:p>
        </w:tc>
        <w:tc>
          <w:tcPr>
            <w:tcW w:type="dxa" w:w="3120"/>
          </w:tcPr>
          <w:p>
            <w:pPr>
              <w:keepNext/>
            </w:pPr>
            <w:r>
              <w:rPr/>
              <w:t xml:space="preserve">16 trimestres seguidos</w:t>
            </w:r>
          </w:p>
        </w:tc>
        <w:tc>
          <w:tcPr>
            <w:tcW w:type="dxa" w:w="3120"/>
          </w:tcPr>
          <w:p>
            <w:pPr>
              <w:keepNext/>
            </w:pPr>
            <w:r>
              <w:rPr/>
              <w:t xml:space="preserve">Subió hasta 49.0 (III-25) y volvió a bajar a 39.4</w:t>
            </w:r>
          </w:p>
        </w:tc>
      </w:tr>
      <w:tr>
        <w:tc>
          <w:tcPr>
            <w:tcW w:type="dxa" w:w="3120"/>
          </w:tcPr>
          <w:p>
            <w:pPr>
              <w:keepNext/>
            </w:pPr>
            <w:r>
              <w:rPr/>
              <w:t xml:space="preserve">Fase de alzas: II-22 a I-23</w:t>
            </w:r>
          </w:p>
        </w:tc>
        <w:tc>
          <w:tcPr>
            <w:tcW w:type="dxa" w:w="3120"/>
          </w:tcPr>
          <w:p>
            <w:pPr>
              <w:keepNext/>
            </w:pPr>
            <w:r>
              <w:rPr/>
              <w:t xml:space="preserve">II-21 a I-23</w:t>
            </w:r>
          </w:p>
        </w:tc>
        <w:tc>
          <w:tcPr>
            <w:tcW w:type="dxa" w:w="3120"/>
          </w:tcPr>
          <w:p>
            <w:pPr>
              <w:keepNext/>
            </w:pPr>
            <w:r>
              <w:rPr/>
              <w:t xml:space="preserve">Las alzas empezaron en junio de 2021; promedios recalculados</w:t>
            </w:r>
          </w:p>
        </w:tc>
      </w:tr>
      <w:tr>
        <w:tc>
          <w:tcPr>
            <w:tcW w:type="dxa" w:w="3120"/>
          </w:tcPr>
          <w:p>
            <w:pPr>
              <w:keepNext/>
            </w:pPr>
            <w:r>
              <w:rPr/>
              <w:t xml:space="preserve">Tasas de fin de trimestre estimadas</w:t>
            </w:r>
          </w:p>
        </w:tc>
        <w:tc>
          <w:tcPr>
            <w:tcW w:type="dxa" w:w="3120"/>
          </w:tcPr>
          <w:p>
            <w:pPr>
              <w:keepNext/>
            </w:pPr>
            <w:r>
              <w:rPr/>
              <w:t xml:space="preserve">Reconstruidas de anuncios de Banxico</w:t>
            </w:r>
          </w:p>
        </w:tc>
        <w:tc>
          <w:tcPr>
            <w:tcW w:type="dxa" w:w="3120"/>
          </w:tcPr>
          <w:p>
            <w:pPr>
              <w:keepNext/>
            </w:pPr>
            <w:r>
              <w:rPr/>
              <w:t xml:space="preserve">I-26 = 6.75%, II-26 = 6.50%</w:t>
            </w:r>
          </w:p>
        </w:tc>
      </w:tr>
      <w:tr>
        <w:tc>
          <w:tcPr>
            <w:tcW w:type="dxa" w:w="3120"/>
          </w:tcPr>
          <w:p>
            <w:pPr>
              <w:keepNext/>
            </w:pPr>
            <w:r>
              <w:rPr/>
              <w:t xml:space="preserve">Grandes con crédito en 2021: 52-54%</w:t>
            </w:r>
          </w:p>
        </w:tc>
        <w:tc>
          <w:tcPr>
            <w:tcW w:type="dxa" w:w="3120"/>
          </w:tcPr>
          <w:p>
            <w:pPr>
              <w:keepNext/>
            </w:pPr>
            <w:r>
              <w:rPr/>
              <w:t xml:space="preserve">48.6-54.4%</w:t>
            </w:r>
          </w:p>
        </w:tc>
        <w:tc>
          <w:tcPr>
            <w:tcW w:type="dxa" w:w="3120"/>
          </w:tcPr>
          <w:p>
            <w:pPr>
              <w:keepNext/>
            </w:pPr>
            <w:r>
              <w:rPr/>
              <w:t xml:space="preserve">II-21 fue 48.6%</w:t>
            </w:r>
          </w:p>
        </w:tc>
      </w:tr>
      <w:tr>
        <w:tc>
          <w:tcPr>
            <w:tcW w:type="dxa" w:w="3120"/>
          </w:tcPr>
          <w:p>
            <w:pPr>
              <w:keepNext/>
            </w:pPr>
            <w:r>
              <w:rPr/>
              <w:t xml:space="preserve">Proveedores: 58-65%</w:t>
            </w:r>
          </w:p>
        </w:tc>
        <w:tc>
          <w:tcPr>
            <w:tcW w:type="dxa" w:w="3120"/>
          </w:tcPr>
          <w:p>
            <w:pPr>
              <w:keepNext/>
            </w:pPr>
            <w:r>
              <w:rPr/>
              <w:t xml:space="preserve">56.4-64.9%</w:t>
            </w:r>
          </w:p>
        </w:tc>
        <w:tc>
          <w:tcPr>
            <w:tcW w:type="dxa" w:w="3120"/>
          </w:tcPr>
          <w:p>
            <w:pPr>
              <w:keepNext/>
            </w:pPr>
            <w:r>
              <w:rPr/>
              <w:t xml:space="preserve">III-25 bajó a 56.4%</w:t>
            </w:r>
          </w:p>
        </w:tc>
      </w:tr>
      <w:tr>
        <w:tc>
          <w:tcPr>
            <w:tcW w:type="dxa" w:w="3120"/>
          </w:tcPr>
          <w:p>
            <w:pPr>
              <w:keepNext/>
            </w:pPr>
            <w:r>
              <w:rPr/>
              <w:t xml:space="preserve">Ventas: de 29.4% a 44.6%</w:t>
            </w:r>
          </w:p>
        </w:tc>
        <w:tc>
          <w:tcPr>
            <w:tcW w:type="dxa" w:w="3120"/>
          </w:tcPr>
          <w:p>
            <w:pPr>
              <w:keepNext/>
            </w:pPr>
            <w:r>
              <w:rPr/>
              <w:t xml:space="preserve">Pico de 47.8% en II-25</w:t>
            </w:r>
          </w:p>
        </w:tc>
        <w:tc>
          <w:tcPr>
            <w:tcW w:type="dxa" w:w="3120"/>
          </w:tcPr>
          <w:p>
            <w:pPr>
              <w:keepNext/>
            </w:pPr>
            <w:r>
              <w:rPr/>
              <w:t xml:space="preserve">La subida se dio hasta 2025; ahora está estable</w:t>
            </w:r>
          </w:p>
        </w:tc>
      </w:tr>
      <w:tr>
        <w:tc>
          <w:tcPr>
            <w:tcW w:type="dxa" w:w="3120"/>
          </w:tcPr>
          <w:p>
            <w:pPr/>
            <w:r>
              <w:rPr/>
              <w:t xml:space="preserve">Usar solo IV-20 en adelante, pero IV-20 aparece en la tabla 2020</w:t>
            </w:r>
          </w:p>
        </w:tc>
        <w:tc>
          <w:tcPr>
            <w:tcW w:type="dxa" w:w="3120"/>
          </w:tcPr>
          <w:p>
            <w:pPr/>
            <w:r>
              <w:rPr/>
              <w:t xml:space="preserve">IV-20 tiene dos valores</w:t>
            </w:r>
          </w:p>
        </w:tc>
        <w:tc>
          <w:tcPr>
            <w:tcW w:type="dxa" w:w="3120"/>
          </w:tcPr>
          <w:p>
            <w:pPr/>
            <w:r>
              <w:rPr/>
              <w:t xml:space="preserve">16.8% (muestra anterior) y 13.6% (diseño vigente)</w:t>
            </w:r>
          </w:p>
        </w:tc>
      </w:tr>
    </w:tbl>
    <w:p>
      <w:pPr>
        <w:spacing w:before="160"/>
      </w:pPr>
      <w:r>
        <w:rPr/>
        <w:t xml:space="preserve">Con la serie completa del SIE cambian algunas cifras de la versión anterior: el promedio de crédito nuevo es 13.8% (desviación 2.1); 11.2% es ahora el cuarto nivel más bajo desde I-20; la brecha máxima por tamaño es 21.6 pp en II-20; la correlación con la tasa es +0.48; y el promedio de 2026 es 12.2%. Se mantienen la tendencia de -1.0 pp por año desde I-23, el 20.3% que espera pedir crédito y la tasa en 6.50%.</w:t>
      </w:r>
    </w:p>
    <w:p>
      <w:pPr>
        <w:pStyle w:val="Ttulo2"/>
        <w:keepNext/>
      </w:pPr>
      <w:r>
        <w:rPr/>
        <w:t xml:space="preserve">Qué vigilar</w:t>
      </w:r>
    </w:p>
    <w:p>
      <w:pPr/>
      <w:r>
        <w:rPr/>
        <w:t xml:space="preserve">La encuesta de julio-septiembre 2026 (III-26) sale el 19 de noviembre de 2026 a las 9:00; con ella se completa 2026 en el Excel. Tres cifras dirán si 2026 es un cambio de tendencia.</w:t>
      </w:r>
    </w:p>
    <w:p>
      <w:pPr>
        <w:pStyle w:val="Prrafodelista"/>
        <w:numPr>
          <w:ilvl w:val="0"/>
          <w:numId w:val="9"/>
        </w:numPr>
      </w:pPr>
      <w:r>
        <w:rPr>
          <w:b/>
        </w:rPr>
        <w:t xml:space="preserve">Rechazo a pymes. </w:t>
      </w:r>
      <w:r>
        <w:rPr/>
        <w:t xml:space="preserve">Si el rechazo de las empresas de hasta 100 empleados sigue arriba de 20%, la banca está apretando la oferta para ellas; debajo de 10% sería ruido de base pequeña.</w:t>
      </w:r>
    </w:p>
    <w:p>
      <w:pPr>
        <w:pStyle w:val="Prrafodelista"/>
        <w:numPr>
          <w:ilvl w:val="0"/>
          <w:numId w:val="9"/>
        </w:numPr>
      </w:pPr>
      <w:r>
        <w:rPr>
          <w:b/>
        </w:rPr>
        <w:t xml:space="preserve">Crédito nuevo en pequeñas. </w:t>
      </w:r>
      <w:r>
        <w:rPr/>
        <w:t xml:space="preserve">Si las de hasta 100 empleados siguen cerca de 10%, la brecha por tamaño seguirá abriéndose.</w:t>
      </w:r>
    </w:p>
    <w:p>
      <w:pPr>
        <w:pStyle w:val="Prrafodelista"/>
        <w:numPr>
          <w:ilvl w:val="0"/>
          <w:numId w:val="9"/>
        </w:numPr>
      </w:pPr>
      <w:r>
        <w:rPr>
          <w:b/>
        </w:rPr>
        <w:t xml:space="preserve">Índice de tasas. </w:t>
      </w:r>
      <w:r>
        <w:rPr/>
        <w:t xml:space="preserve">Con Banxico en pausa desde mayo y la TIIE cerca de 6.8%, si el índice no regresa arriba de 45 los recortes ya no están llegando al costo que ven las empresas.</w:t>
      </w:r>
    </w:p>
    <w:p>
      <w:pPr/>
      <w:r>
        <w:rPr/>
        <w:t xml:space="preserve">También: 20.3% de las empresas dice que pedirá crédito bancario en julio-septiembre (18.7% antes). Para completar los trimestres por tamaño que faltan, exportar del </w:t>
      </w:r>
      <w:hyperlink r:id="rId33" w:history="1">
        <w:r>
          <w:rPr>
            <w:rStyle w:val="Hipervnculo"/>
          </w:rPr>
          <w:t xml:space="preserve">SIE</w:t>
        </w:r>
      </w:hyperlink>
      <w:r>
        <w:rPr/>
        <w:t xml:space="preserve"> el cuadro de la encuesta con tipo de información 'Niveles'.</w:t>
      </w:r>
    </w:p>
    <w:p>
      <w:pPr>
        <w:pStyle w:val="Ttulo2"/>
        <w:keepNext/>
      </w:pPr>
      <w:r>
        <w:rPr/>
        <w:t xml:space="preserve">Fuentes</w:t>
      </w:r>
    </w:p>
    <w:p>
      <w:pPr/>
      <w:r>
        <w:rPr/>
        <w:t xml:space="preserve">Comunicados de Banxico, </w:t>
      </w:r>
      <w:r>
        <w:rPr>
          <w:i/>
        </w:rPr>
        <w:t xml:space="preserve">Evolución trimestral del financiamiento a las empresas</w:t>
      </w:r>
      <w:r>
        <w:rPr/>
        <w:t xml:space="preserve">:</w:t>
      </w:r>
    </w:p>
    <w:p>
      <w:pPr>
        <w:pStyle w:val="Prrafodelista"/>
        <w:numPr>
          <w:ilvl w:val="0"/>
          <w:numId w:val="10"/>
        </w:numPr>
      </w:pPr>
      <w:hyperlink r:id="rId10" w:history="1">
        <w:r>
          <w:rPr>
            <w:rStyle w:val="Hipervnculo"/>
          </w:rPr>
          <w:t xml:space="preserve">II-2026</w:t>
        </w:r>
      </w:hyperlink>
      <w:r>
        <w:rPr/>
        <w:t xml:space="preserve"> · </w:t>
      </w:r>
      <w:hyperlink r:id="rId11" w:history="1">
        <w:r>
          <w:rPr>
            <w:rStyle w:val="Hipervnculo"/>
          </w:rPr>
          <w:t xml:space="preserve">IV-2025</w:t>
        </w:r>
      </w:hyperlink>
      <w:r>
        <w:rPr/>
        <w:t xml:space="preserve"> · </w:t>
      </w:r>
      <w:hyperlink r:id="rId12" w:history="1">
        <w:r>
          <w:rPr>
            <w:rStyle w:val="Hipervnculo"/>
          </w:rPr>
          <w:t xml:space="preserve">II-2025</w:t>
        </w:r>
      </w:hyperlink>
      <w:r>
        <w:rPr/>
        <w:t xml:space="preserve"> · </w:t>
      </w:r>
      <w:hyperlink r:id="rId13" w:history="1">
        <w:r>
          <w:rPr>
            <w:rStyle w:val="Hipervnculo"/>
          </w:rPr>
          <w:t xml:space="preserve">IV-2024</w:t>
        </w:r>
      </w:hyperlink>
      <w:r>
        <w:rPr/>
        <w:t xml:space="preserve"> · </w:t>
      </w:r>
      <w:hyperlink r:id="rId14" w:history="1">
        <w:r>
          <w:rPr>
            <w:rStyle w:val="Hipervnculo"/>
          </w:rPr>
          <w:t xml:space="preserve">II-2024</w:t>
        </w:r>
      </w:hyperlink>
    </w:p>
    <w:p>
      <w:pPr>
        <w:pStyle w:val="Prrafodelista"/>
        <w:numPr>
          <w:ilvl w:val="0"/>
          <w:numId w:val="10"/>
        </w:numPr>
      </w:pPr>
      <w:hyperlink r:id="rId15" w:history="1">
        <w:r>
          <w:rPr>
            <w:rStyle w:val="Hipervnculo"/>
          </w:rPr>
          <w:t xml:space="preserve">IV-2023</w:t>
        </w:r>
      </w:hyperlink>
      <w:r>
        <w:rPr/>
        <w:t xml:space="preserve"> · </w:t>
      </w:r>
      <w:hyperlink r:id="rId16" w:history="1">
        <w:r>
          <w:rPr>
            <w:rStyle w:val="Hipervnculo"/>
          </w:rPr>
          <w:t xml:space="preserve">II-2023</w:t>
        </w:r>
      </w:hyperlink>
      <w:r>
        <w:rPr/>
        <w:t xml:space="preserve"> · </w:t>
      </w:r>
      <w:hyperlink r:id="rId17" w:history="1">
        <w:r>
          <w:rPr>
            <w:rStyle w:val="Hipervnculo"/>
          </w:rPr>
          <w:t xml:space="preserve">IV-2022</w:t>
        </w:r>
      </w:hyperlink>
      <w:r>
        <w:rPr/>
        <w:t xml:space="preserve"> (primer comunicado con el diseño vigente)</w:t>
      </w:r>
    </w:p>
    <w:p>
      <w:pPr>
        <w:pStyle w:val="Prrafodelista"/>
        <w:numPr>
          <w:ilvl w:val="0"/>
          <w:numId w:val="10"/>
        </w:numPr>
      </w:pPr>
      <w:r>
        <w:rPr/>
        <w:t xml:space="preserve">Muestra anterior: </w:t>
      </w:r>
      <w:hyperlink r:id="rId18" w:history="1">
        <w:r>
          <w:rPr>
            <w:rStyle w:val="Hipervnculo"/>
          </w:rPr>
          <w:t xml:space="preserve">II-2022</w:t>
        </w:r>
      </w:hyperlink>
      <w:r>
        <w:rPr/>
        <w:t xml:space="preserve"> · </w:t>
      </w:r>
      <w:hyperlink r:id="rId19" w:history="1">
        <w:r>
          <w:rPr>
            <w:rStyle w:val="Hipervnculo"/>
          </w:rPr>
          <w:t xml:space="preserve">I-2021</w:t>
        </w:r>
      </w:hyperlink>
      <w:r>
        <w:rPr/>
        <w:t xml:space="preserve"> (referencia para 2020)</w:t>
      </w:r>
    </w:p>
    <w:p>
      <w:pPr>
        <w:pStyle w:val="Prrafodelista"/>
        <w:numPr>
          <w:ilvl w:val="0"/>
          <w:numId w:val="10"/>
        </w:numPr>
      </w:pPr>
      <w:hyperlink r:id="rId33" w:history="1">
        <w:r>
          <w:rPr>
            <w:rStyle w:val="Hipervnculo"/>
          </w:rPr>
          <w:t xml:space="preserve">SIE de Banxico</w:t>
        </w:r>
      </w:hyperlink>
      <w:r>
        <w:rPr/>
        <w:t xml:space="preserve">, consultas del 14-oct-2026: resultados de la encuesta (variación anual, 590 series), TIIE a 28 días (SF43783, SF283) y TIIE de fondeo (SF331450) · </w:t>
      </w:r>
      <w:hyperlink r:id="rId20" w:history="1">
        <w:r>
          <w:rPr>
            <w:rStyle w:val="Hipervnculo"/>
          </w:rPr>
          <w:t xml:space="preserve">Nota metodológica</w:t>
        </w:r>
      </w:hyperlink>
      <w:r>
        <w:rPr/>
        <w:t xml:space="preserve"> · </w:t>
      </w:r>
      <w:hyperlink r:id="rId21" w:history="1">
        <w:r>
          <w:rPr>
            <w:rStyle w:val="Hipervnculo"/>
          </w:rPr>
          <w:t xml:space="preserve">Calendario de publicación</w:t>
        </w:r>
      </w:hyperlink>
    </w:p>
    <w:p>
      <w:pPr>
        <w:pStyle w:val="Prrafodelista"/>
        <w:numPr>
          <w:ilvl w:val="0"/>
          <w:numId w:val="10"/>
        </w:numPr>
      </w:pPr>
      <w:r>
        <w:rPr/>
        <w:t xml:space="preserve">Crédito nuevo por tamaño I-26: </w:t>
      </w:r>
      <w:hyperlink r:id="rId34" w:history="1">
        <w:r>
          <w:rPr>
            <w:rStyle w:val="Hipervnculo"/>
          </w:rPr>
          <w:t xml:space="preserve">Yahoo Noticias</w:t>
        </w:r>
      </w:hyperlink>
      <w:r>
        <w:rPr/>
        <w:t xml:space="preserve">; I-24: </w:t>
      </w:r>
      <w:hyperlink r:id="rId35" w:history="1">
        <w:r>
          <w:rPr>
            <w:rStyle w:val="Hipervnculo"/>
          </w:rPr>
          <w:t xml:space="preserve">Dinero en Imagen</w:t>
        </w:r>
      </w:hyperlink>
    </w:p>
    <w:sectPr w:rsidR="00C303A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57F0"/>
    <w:multiLevelType w:val="hybridMultilevel"/>
    <w:tmpl w:val="8A00BD8C"/>
    <w:lvl w:ilvl="0" w:tplc="18AE4690">
      <w:start w:val="1"/>
      <w:numFmt w:val="bullet"/>
      <w:lvlText w:val="•"/>
      <w:lvlJc w:val="left"/>
      <w:pPr>
        <w:ind w:left="720" w:hanging="360"/>
      </w:pPr>
    </w:lvl>
    <w:lvl w:ilvl="1" w:tplc="8FD681B4">
      <w:start w:val="1"/>
      <w:numFmt w:val="bullet"/>
      <w:lvlText w:val="o"/>
      <w:lvlJc w:val="left"/>
      <w:pPr>
        <w:ind w:left="1440" w:hanging="360"/>
      </w:pPr>
    </w:lvl>
    <w:lvl w:ilvl="2" w:tplc="6CDCB068">
      <w:start w:val="1"/>
      <w:numFmt w:val="bullet"/>
      <w:lvlText w:val="▪"/>
      <w:lvlJc w:val="left"/>
      <w:pPr>
        <w:ind w:left="2160" w:hanging="360"/>
      </w:pPr>
    </w:lvl>
    <w:lvl w:ilvl="3" w:tplc="F5963D70">
      <w:start w:val="1"/>
      <w:numFmt w:val="bullet"/>
      <w:lvlText w:val="•"/>
      <w:lvlJc w:val="left"/>
      <w:pPr>
        <w:ind w:left="2880" w:hanging="360"/>
      </w:pPr>
    </w:lvl>
    <w:lvl w:ilvl="4" w:tplc="6C1CCB66">
      <w:start w:val="1"/>
      <w:numFmt w:val="bullet"/>
      <w:lvlText w:val="o"/>
      <w:lvlJc w:val="left"/>
      <w:pPr>
        <w:ind w:left="3600" w:hanging="360"/>
      </w:pPr>
    </w:lvl>
    <w:lvl w:ilvl="5" w:tplc="96A817CA">
      <w:start w:val="1"/>
      <w:numFmt w:val="bullet"/>
      <w:lvlText w:val="▪"/>
      <w:lvlJc w:val="left"/>
      <w:pPr>
        <w:ind w:left="4320" w:hanging="360"/>
      </w:pPr>
    </w:lvl>
    <w:lvl w:ilvl="6" w:tplc="EE224276">
      <w:start w:val="1"/>
      <w:numFmt w:val="bullet"/>
      <w:lvlText w:val="•"/>
      <w:lvlJc w:val="left"/>
      <w:pPr>
        <w:ind w:left="5040" w:hanging="360"/>
      </w:pPr>
    </w:lvl>
    <w:lvl w:ilvl="7" w:tplc="271CCF9C">
      <w:start w:val="1"/>
      <w:numFmt w:val="bullet"/>
      <w:lvlText w:val="o"/>
      <w:lvlJc w:val="left"/>
      <w:pPr>
        <w:ind w:left="5760" w:hanging="360"/>
      </w:pPr>
    </w:lvl>
    <w:lvl w:ilvl="8" w:tplc="0FF4508C">
      <w:start w:val="1"/>
      <w:numFmt w:val="bullet"/>
      <w:lvlText w:val="▪"/>
      <w:lvlJc w:val="left"/>
      <w:pPr>
        <w:ind w:left="6480" w:hanging="360"/>
      </w:pPr>
    </w:lvl>
  </w:abstractNum>
  <w:abstractNum w:abstractNumId="1" w15:restartNumberingAfterBreak="0">
    <w:nsid w:val="5B4815FB"/>
    <w:multiLevelType w:val="hybridMultilevel"/>
    <w:tmpl w:val="E218328A"/>
    <w:lvl w:ilvl="0" w:tplc="4A9CBCEC">
      <w:start w:val="1"/>
      <w:numFmt w:val="decimal"/>
      <w:lvlText w:val="%1."/>
      <w:lvlJc w:val="left"/>
      <w:pPr>
        <w:ind w:left="720" w:hanging="360"/>
      </w:pPr>
    </w:lvl>
    <w:lvl w:ilvl="1" w:tplc="59A8E93E">
      <w:start w:val="1"/>
      <w:numFmt w:val="lowerLetter"/>
      <w:lvlText w:val="%2."/>
      <w:lvlJc w:val="left"/>
      <w:pPr>
        <w:ind w:left="1440" w:hanging="360"/>
      </w:pPr>
    </w:lvl>
    <w:lvl w:ilvl="2" w:tplc="B0B6CC4C">
      <w:start w:val="1"/>
      <w:numFmt w:val="lowerRoman"/>
      <w:lvlText w:val="%3."/>
      <w:lvlJc w:val="left"/>
      <w:pPr>
        <w:ind w:left="2160" w:hanging="360"/>
      </w:pPr>
    </w:lvl>
    <w:lvl w:ilvl="3" w:tplc="06D0B5DE">
      <w:start w:val="1"/>
      <w:numFmt w:val="decimal"/>
      <w:lvlText w:val="%4."/>
      <w:lvlJc w:val="left"/>
      <w:pPr>
        <w:ind w:left="2880" w:hanging="360"/>
      </w:pPr>
    </w:lvl>
    <w:lvl w:ilvl="4" w:tplc="7ABCF3FA">
      <w:start w:val="1"/>
      <w:numFmt w:val="lowerLetter"/>
      <w:lvlText w:val="%5."/>
      <w:lvlJc w:val="left"/>
      <w:pPr>
        <w:ind w:left="3600" w:hanging="360"/>
      </w:pPr>
    </w:lvl>
    <w:lvl w:ilvl="5" w:tplc="6D62DD1A">
      <w:start w:val="1"/>
      <w:numFmt w:val="lowerRoman"/>
      <w:lvlText w:val="%6."/>
      <w:lvlJc w:val="left"/>
      <w:pPr>
        <w:ind w:left="4320" w:hanging="360"/>
      </w:pPr>
    </w:lvl>
    <w:lvl w:ilvl="6" w:tplc="DCA68590">
      <w:start w:val="1"/>
      <w:numFmt w:val="decimal"/>
      <w:lvlText w:val="%7."/>
      <w:lvlJc w:val="left"/>
      <w:pPr>
        <w:ind w:left="5040" w:hanging="360"/>
      </w:pPr>
    </w:lvl>
    <w:lvl w:ilvl="7" w:tplc="46860FC6">
      <w:start w:val="1"/>
      <w:numFmt w:val="lowerLetter"/>
      <w:lvlText w:val="%8."/>
      <w:lvlJc w:val="left"/>
      <w:pPr>
        <w:ind w:left="5760" w:hanging="360"/>
      </w:pPr>
    </w:lvl>
    <w:lvl w:ilvl="8" w:tplc="841CB9EE">
      <w:start w:val="1"/>
      <w:numFmt w:val="lowerRoman"/>
      <w:lvlText w:val="%9."/>
      <w:lvlJc w:val="left"/>
      <w:pPr>
        <w:ind w:left="6480" w:hanging="360"/>
      </w:pPr>
    </w:lvl>
  </w:abstractNum>
  <w:num w:numId="1" w16cid:durableId="1338388770">
    <w:abstractNumId w:val="0"/>
  </w:num>
  <w:num w:numId="2" w16cid:durableId="2107188207">
    <w:abstractNumId w:val="0"/>
  </w:num>
  <w:num w:numId="3" w16cid:durableId="1813063839">
    <w:abstractNumId w:val="0"/>
  </w:num>
  <w:num w:numId="4" w16cid:durableId="1479834318">
    <w:abstractNumId w:val="0"/>
  </w:num>
  <w:num w:numId="5" w16cid:durableId="1418820832">
    <w:abstractNumId w:val="0"/>
  </w:num>
  <w:num w:numId="6" w16cid:durableId="978145350">
    <w:abstractNumId w:val="0"/>
  </w:num>
  <w:num w:numId="7" w16cid:durableId="1498883573">
    <w:abstractNumId w:val="0"/>
  </w:num>
  <w:num w:numId="8" w16cid:durableId="1672179209">
    <w:abstractNumId w:val="0"/>
  </w:num>
  <w:num w:numId="9" w16cid:durableId="1045716177">
    <w:abstractNumId w:val="1"/>
    <w:lvlOverride w:ilvl="0">
      <w:startOverride w:val="1"/>
    </w:lvlOverride>
  </w:num>
  <w:num w:numId="10" w16cid:durableId="168775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303AE"/>
    <w:rsid w:val="003830BC"/>
    <w:rsid w:val="00BF0032"/>
    <w:rsid w:val="00C303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6249"/>
  <w15:docId w15:val="{51497E25-9C71-4E11-BC91-D47F909E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ceo.com/economia/banxico-deja-la-tasa-de-interes-en-6-50-la-politica-monetaria-no-tendria-que-reaccionar-a-los-ajustes-en-estados-unidos/" TargetMode="External"/><Relationship Id="rId13" Type="http://schemas.openxmlformats.org/officeDocument/2006/relationships/hyperlink" Target="https://www.banxico.org.mx/publicaciones-y-prensa/evolucion-trimestral-del-financiamiento-a-las-empr/%7b41E9A188-3BBF-92FE-3901-BFCF227A03C1%7d.pdf" TargetMode="External"/><Relationship Id="rId18" Type="http://schemas.openxmlformats.org/officeDocument/2006/relationships/hyperlink" Target="https://www.banxico.org.mx/publicaciones-y-prensa/evolucion-trimestral-del-financiamiento-a-las-empr/%7bFB5B2684-8343-D0B7-062D-8CBD1E9275CA%7d.pdf" TargetMode="External"/><Relationship Id="rId3" Type="http://schemas.openxmlformats.org/officeDocument/2006/relationships/settings" Target="settings.xml"/><Relationship Id="rId21" Type="http://schemas.openxmlformats.org/officeDocument/2006/relationships/hyperlink" Target="https://www.banxico.org.mx/publicaciones-y-prensa/evolucion-trimestral-del-financiamiento-a-las-empr/evolucion-del-financiamiento-.html" TargetMode="External"/><Relationship Id="rId7" Type="http://schemas.openxmlformats.org/officeDocument/2006/relationships/image" Target="media/image2.png"/><Relationship Id="rId12" Type="http://schemas.openxmlformats.org/officeDocument/2006/relationships/hyperlink" Target="https://www.banxico.org.mx/publicaciones-y-prensa/evolucion-trimestral-del-financiamiento-a-las-empr/%7bA359AF39-1AA0-580C-3CEF-9373F9D485D8%7d.pdf" TargetMode="External"/><Relationship Id="rId17" Type="http://schemas.openxmlformats.org/officeDocument/2006/relationships/hyperlink" Target="https://www.banxico.org.mx/publicaciones-y-prensa/evolucion-trimestral-del-financiamiento-a-las-empr/%7bD5CA1289-F2D7-09C2-7B2D-423C8E37F21D%7d.pdf" TargetMode="External"/><Relationship Id="rId2" Type="http://schemas.openxmlformats.org/officeDocument/2006/relationships/styles" Target="styles.xml"/><Relationship Id="rId16" Type="http://schemas.openxmlformats.org/officeDocument/2006/relationships/hyperlink" Target="https://www.banxico.org.mx/publicaciones-y-prensa/evolucion-trimestral-del-financiamiento-a-las-empr/%7b0CE3D5CB-D226-BD23-14DD-FF6866A972C4%7d.pdf" TargetMode="External"/><Relationship Id="rId20" Type="http://schemas.openxmlformats.org/officeDocument/2006/relationships/hyperlink" Target="https://www.banxico.org.mx/apps/sie/%7b9F0C92AB-EEAE-142D-4CC8-EC8DC2F2A7AD%7d.pdf"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anxico.org.mx/publicaciones-y-prensa/evolucion-trimestral-del-financiamiento-a-las-empr/%7b6353FB17-0AEC-FEC4-C353-23DA19D12758%7d.pdf" TargetMode="External"/><Relationship Id="rId5" Type="http://schemas.openxmlformats.org/officeDocument/2006/relationships/hyperlink" Target="https://www.banxico.org.mx/apps/sie/%7b9F0C92AB-EEAE-142D-4CC8-EC8DC2F2A7AD%7d.pdf" TargetMode="External"/><Relationship Id="rId15" Type="http://schemas.openxmlformats.org/officeDocument/2006/relationships/hyperlink" Target="https://www.banxico.org.mx/publicaciones-y-prensa/evolucion-trimestral-del-financiamiento-a-las-empr/%7bE2598EEE-1219-84C2-FA87-EC08CD410AF0%7d.pdf" TargetMode="External"/><Relationship Id="rId23" Type="http://schemas.openxmlformats.org/officeDocument/2006/relationships/theme" Target="theme/theme1.xml"/><Relationship Id="rId10" Type="http://schemas.openxmlformats.org/officeDocument/2006/relationships/hyperlink" Target="https://www.banxico.org.mx/publicaciones-y-prensa/evolucion-trimestral-del-financiamiento-a-las-empr/%7bE337ADB1-E981-1E18-A430-CEF8FF7A5164%7d.pdf" TargetMode="External"/><Relationship Id="rId19" Type="http://schemas.openxmlformats.org/officeDocument/2006/relationships/hyperlink" Target="https://www.banxico.org.mx/publicaciones-y-prensa/evolucion-trimestral-del-financiamiento-a-las-empr/%7b2F0797C9-2616-D11A-47F5-39FE48B68D31%7d.pdf" TargetMode="External"/><Relationship Id="rId4" Type="http://schemas.openxmlformats.org/officeDocument/2006/relationships/webSettings" Target="webSettings.xml"/><Relationship Id="rId9" Type="http://schemas.openxmlformats.org/officeDocument/2006/relationships/hyperlink" Target="https://www.banxico.org.mx/SieInternet/consultarDirectorioInternetAction.do?sector=19&amp;accion=consultarCuadro&amp;idCuadro=CF910&amp;locale=es" TargetMode="External"/><Relationship Id="rId14" Type="http://schemas.openxmlformats.org/officeDocument/2006/relationships/hyperlink" Target="https://www.banxico.org.mx/publicaciones-y-prensa/evolucion-trimestral-del-financiamiento-a-las-empr/%7bC03F13AB-9577-CCE0-8FE6-66CD253255B7%7d.pdf" TargetMode="External"/><Relationship Id="rId22" Type="http://schemas.openxmlformats.org/officeDocument/2006/relationships/fontTable" Target="fontTable.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hyperlink" Target="https://mexicocomovamos.mx/wp-content/uploads/2026/08/InfografiaMCV_PolMon_Ago2026.pdf" TargetMode="External"/><Relationship Id="rId32" Type="http://schemas.openxmlformats.org/officeDocument/2006/relationships/hyperlink" Target="https://www.bdomexico.com/es-mx/publicaciones/boletines-de-precios-de-transferencia/2025/tiie-de-fondeo" TargetMode="External"/><Relationship Id="rId33" Type="http://schemas.openxmlformats.org/officeDocument/2006/relationships/hyperlink" Target="https://www.banxico.org.mx/SieInternet/" TargetMode="External"/><Relationship Id="rId34" Type="http://schemas.openxmlformats.org/officeDocument/2006/relationships/hyperlink" Target="https://es-us.noticias.yahoo.com/trimestre-subi%C3%B3-porcentaje-empresas-utilizaron-045907948.html" TargetMode="External"/><Relationship Id="rId35" Type="http://schemas.openxmlformats.org/officeDocument/2006/relationships/hyperlink" Target="https://www.dineroenimagen.com/empresas/encuesta-de-banxico-revela-mas-empresas-evitan-nuevos-creditos-bancarios/1867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1952</Words>
  <Characters>10742</Characters>
  <Application>Microsoft Office Word</Application>
  <DocSecurity>0</DocSecurity>
  <Lines>89</Lines>
  <Paragraphs>25</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Financiamiento a las empresas en México 2020-2026 lectura de la encuesta de Banx</dc:title>
  <dc:description>Claude Docs node/c527a122-bb86@14 docx-w6</dc:description>
  <cp:lastModifiedBy>CASTAÑEDA Emiliano</cp:lastModifiedBy>
  <cp:revision>15</cp:revision>
  <dcterms:created xsi:type="dcterms:W3CDTF">2026-10-09T17:04:00Z</dcterms:created>
  <dcterms:modified xsi:type="dcterms:W3CDTF">2026-10-09T17:04:00Z</dcterms:modified>
</cp:coreProperties>
</file>