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6B4EB" w14:textId="77777777" w:rsidR="00EB77EF" w:rsidRPr="00F5611F" w:rsidRDefault="00000000" w:rsidP="00F5611F">
      <w:pPr>
        <w:pStyle w:val="Ttulo1"/>
        <w:spacing w:line="360" w:lineRule="auto"/>
        <w:jc w:val="both"/>
        <w:rPr>
          <w:rFonts w:ascii="Arial" w:hAnsi="Arial" w:cs="Arial"/>
          <w:sz w:val="22"/>
          <w:lang w:val="es-MX"/>
        </w:rPr>
      </w:pPr>
      <w:r w:rsidRPr="00F5611F">
        <w:rPr>
          <w:rFonts w:ascii="Arial" w:hAnsi="Arial" w:cs="Arial"/>
          <w:sz w:val="22"/>
          <w:lang w:val="es-MX"/>
        </w:rPr>
        <w:t>Inclusión financiera, Pymes y Plan México: revisión de literatura indexada</w:t>
      </w:r>
    </w:p>
    <w:p w14:paraId="3F39ABF9" w14:textId="77777777" w:rsidR="00EB77EF" w:rsidRPr="00F5611F" w:rsidRDefault="00000000" w:rsidP="00F5611F">
      <w:pPr>
        <w:pStyle w:val="Ttulo2"/>
        <w:spacing w:line="360" w:lineRule="auto"/>
        <w:jc w:val="both"/>
        <w:rPr>
          <w:rFonts w:ascii="Arial" w:hAnsi="Arial" w:cs="Arial"/>
          <w:sz w:val="22"/>
          <w:lang w:val="es-MX"/>
        </w:rPr>
      </w:pPr>
      <w:r w:rsidRPr="00F5611F">
        <w:rPr>
          <w:rFonts w:ascii="Arial" w:hAnsi="Arial" w:cs="Arial"/>
          <w:sz w:val="22"/>
          <w:lang w:val="es-MX"/>
        </w:rPr>
        <w:t>1. Inclusión financiera: de qué hablamos</w:t>
      </w:r>
    </w:p>
    <w:p w14:paraId="228746C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Cuando se habla de inclusión financiera suele pensarse en abrir cuentas, pero el concepto va más lejos. La definición oficial en México habla de acceso </w:t>
      </w:r>
      <w:r w:rsidRPr="00F5611F">
        <w:rPr>
          <w:rFonts w:ascii="Arial" w:hAnsi="Arial" w:cs="Arial"/>
          <w:i/>
          <w:lang w:val="es-MX"/>
        </w:rPr>
        <w:t>y</w:t>
      </w:r>
      <w:r w:rsidRPr="00F5611F">
        <w:rPr>
          <w:rFonts w:ascii="Arial" w:hAnsi="Arial" w:cs="Arial"/>
          <w:lang w:val="es-MX"/>
        </w:rPr>
        <w:t xml:space="preserve"> uso de servicios formales, con una regulación que proteja al usuario y promueva la competencia (</w:t>
      </w:r>
      <w:r w:rsidR="00EB77EF">
        <w:fldChar w:fldCharType="begin"/>
      </w:r>
      <w:r w:rsidR="00EB77EF" w:rsidRPr="00341CD7">
        <w:rPr>
          <w:lang w:val="es-MX"/>
        </w:rPr>
        <w:instrText>HYPERLINK "https://fair.tec.mx/en/node/1186"</w:instrText>
      </w:r>
      <w:r w:rsidR="00EB77EF">
        <w:fldChar w:fldCharType="separate"/>
      </w:r>
      <w:r w:rsidR="00EB77EF" w:rsidRPr="00F5611F">
        <w:rPr>
          <w:rStyle w:val="Hipervnculo"/>
          <w:rFonts w:ascii="Arial" w:hAnsi="Arial" w:cs="Arial"/>
          <w:lang w:val="es-MX"/>
        </w:rPr>
        <w:t>FAIR Center, Tec de Monterrey</w:t>
      </w:r>
      <w:r w:rsidR="00EB77EF">
        <w:fldChar w:fldCharType="end"/>
      </w:r>
      <w:r w:rsidRPr="00F5611F">
        <w:rPr>
          <w:rFonts w:ascii="Arial" w:hAnsi="Arial" w:cs="Arial"/>
          <w:lang w:val="es-MX"/>
        </w:rPr>
        <w:t>). Por eso la política mexicana la mide en cuatro dimensiones que se refuerzan entre sí: acceso, uso, protección al usuario y educación financiera. Tener una sucursal cerca sirve de poco si no se confía en ella o si no se sabe qué producto conviene.</w:t>
      </w:r>
    </w:p>
    <w:p w14:paraId="3AB1FEAE" w14:textId="3C0C133E" w:rsidR="00EB77EF" w:rsidRPr="00F5611F" w:rsidRDefault="00000000" w:rsidP="00F5611F">
      <w:pPr>
        <w:spacing w:line="360" w:lineRule="auto"/>
        <w:jc w:val="both"/>
        <w:rPr>
          <w:rFonts w:ascii="Arial" w:hAnsi="Arial" w:cs="Arial"/>
          <w:lang w:val="es-MX"/>
        </w:rPr>
      </w:pPr>
      <w:r w:rsidRPr="00F5611F">
        <w:rPr>
          <w:rFonts w:ascii="Arial" w:hAnsi="Arial" w:cs="Arial"/>
          <w:lang w:val="es-MX"/>
        </w:rPr>
        <w:t>CEPAL agrega un matiz que es clave para este informe: la inclusión financiera también es una política productiva. No se trata solo de incorporar a quien está fuera, sino de que quien ya está dentro por ejemplo, una pyme con cuenta pero sin crédito— aproveche mejor el sistema (</w:t>
      </w:r>
      <w:r w:rsidR="00EB77EF">
        <w:fldChar w:fldCharType="begin"/>
      </w:r>
      <w:r w:rsidR="00EB77EF" w:rsidRPr="00341CD7">
        <w:rPr>
          <w:lang w:val="es-MX"/>
        </w:rPr>
        <w:instrText>HYPERLINK "https://libros.uasb.edu.ec/index.php/publicaciones/es/catalog/download/64/337/799?inline=1"</w:instrText>
      </w:r>
      <w:r w:rsidR="00EB77EF">
        <w:fldChar w:fldCharType="separate"/>
      </w:r>
      <w:r w:rsidR="00EB77EF" w:rsidRPr="00F5611F">
        <w:rPr>
          <w:rStyle w:val="Hipervnculo"/>
          <w:rFonts w:ascii="Arial" w:hAnsi="Arial" w:cs="Arial"/>
          <w:lang w:val="es-MX"/>
        </w:rPr>
        <w:t>Pérez Caldentey, Cipoletta y Abdo</w:t>
      </w:r>
      <w:r w:rsidR="00EB77EF">
        <w:fldChar w:fldCharType="end"/>
      </w:r>
      <w:r w:rsidRPr="00F5611F">
        <w:rPr>
          <w:rFonts w:ascii="Arial" w:hAnsi="Arial" w:cs="Arial"/>
          <w:lang w:val="es-MX"/>
        </w:rPr>
        <w:t>).</w:t>
      </w:r>
    </w:p>
    <w:p w14:paraId="59842543" w14:textId="77777777" w:rsidR="00EB77EF" w:rsidRPr="00F5611F" w:rsidRDefault="00000000" w:rsidP="00F5611F">
      <w:pPr>
        <w:spacing w:line="360" w:lineRule="auto"/>
        <w:jc w:val="both"/>
        <w:rPr>
          <w:rFonts w:ascii="Arial" w:hAnsi="Arial" w:cs="Arial"/>
        </w:rPr>
      </w:pPr>
      <w:r w:rsidRPr="00F5611F">
        <w:rPr>
          <w:rFonts w:ascii="Arial" w:hAnsi="Arial" w:cs="Arial"/>
          <w:lang w:val="es-MX"/>
        </w:rPr>
        <w:t xml:space="preserve">¿Por qué el sistema deja fuera, sobre todo, a las empresas pequeñas? </w:t>
      </w:r>
      <w:r w:rsidRPr="00F5611F">
        <w:rPr>
          <w:rFonts w:ascii="Arial" w:hAnsi="Arial" w:cs="Arial"/>
        </w:rPr>
        <w:t xml:space="preserve">La </w:t>
      </w:r>
      <w:proofErr w:type="spellStart"/>
      <w:r w:rsidRPr="00F5611F">
        <w:rPr>
          <w:rFonts w:ascii="Arial" w:hAnsi="Arial" w:cs="Arial"/>
        </w:rPr>
        <w:t>teoría</w:t>
      </w:r>
      <w:proofErr w:type="spellEnd"/>
      <w:r w:rsidRPr="00F5611F">
        <w:rPr>
          <w:rFonts w:ascii="Arial" w:hAnsi="Arial" w:cs="Arial"/>
        </w:rPr>
        <w:t xml:space="preserve"> </w:t>
      </w:r>
      <w:proofErr w:type="spellStart"/>
      <w:r w:rsidRPr="00F5611F">
        <w:rPr>
          <w:rFonts w:ascii="Arial" w:hAnsi="Arial" w:cs="Arial"/>
        </w:rPr>
        <w:t>ofrece</w:t>
      </w:r>
      <w:proofErr w:type="spellEnd"/>
      <w:r w:rsidRPr="00F5611F">
        <w:rPr>
          <w:rFonts w:ascii="Arial" w:hAnsi="Arial" w:cs="Arial"/>
        </w:rPr>
        <w:t xml:space="preserve"> </w:t>
      </w:r>
      <w:proofErr w:type="spellStart"/>
      <w:r w:rsidRPr="00F5611F">
        <w:rPr>
          <w:rFonts w:ascii="Arial" w:hAnsi="Arial" w:cs="Arial"/>
        </w:rPr>
        <w:t>varias</w:t>
      </w:r>
      <w:proofErr w:type="spellEnd"/>
      <w:r w:rsidRPr="00F5611F">
        <w:rPr>
          <w:rFonts w:ascii="Arial" w:hAnsi="Arial" w:cs="Arial"/>
        </w:rPr>
        <w:t xml:space="preserve"> </w:t>
      </w:r>
      <w:proofErr w:type="spellStart"/>
      <w:r w:rsidRPr="00F5611F">
        <w:rPr>
          <w:rFonts w:ascii="Arial" w:hAnsi="Arial" w:cs="Arial"/>
        </w:rPr>
        <w:t>respuestas</w:t>
      </w:r>
      <w:proofErr w:type="spellEnd"/>
      <w:r w:rsidRPr="00F5611F">
        <w:rPr>
          <w:rFonts w:ascii="Arial" w:hAnsi="Arial" w:cs="Arial"/>
        </w:rPr>
        <w:t xml:space="preserve"> </w:t>
      </w:r>
      <w:proofErr w:type="spellStart"/>
      <w:r w:rsidRPr="00F5611F">
        <w:rPr>
          <w:rFonts w:ascii="Arial" w:hAnsi="Arial" w:cs="Arial"/>
        </w:rPr>
        <w:t>que</w:t>
      </w:r>
      <w:proofErr w:type="spellEnd"/>
      <w:r w:rsidRPr="00F5611F">
        <w:rPr>
          <w:rFonts w:ascii="Arial" w:hAnsi="Arial" w:cs="Arial"/>
        </w:rPr>
        <w:t xml:space="preserve"> se </w:t>
      </w:r>
      <w:proofErr w:type="spellStart"/>
      <w:r w:rsidRPr="00F5611F">
        <w:rPr>
          <w:rFonts w:ascii="Arial" w:hAnsi="Arial" w:cs="Arial"/>
        </w:rPr>
        <w:t>complementan</w:t>
      </w:r>
      <w:proofErr w:type="spellEnd"/>
      <w:r w:rsidRPr="00F5611F">
        <w:rPr>
          <w:rFonts w:ascii="Arial" w:hAnsi="Arial" w:cs="Arial"/>
        </w:rPr>
        <w:t>:</w:t>
      </w:r>
    </w:p>
    <w:tbl>
      <w:tblPr>
        <w:tblStyle w:val="Tablaconcuadrcula"/>
        <w:tblW w:w="0" w:type="auto"/>
        <w:tblLayout w:type="fixed"/>
        <w:tblLook w:val="0420" w:firstRow="1" w:lastRow="0" w:firstColumn="0" w:lastColumn="0" w:noHBand="0" w:noVBand="1"/>
      </w:tblPr>
      <w:tblGrid>
        <w:gridCol w:w="3120"/>
        <w:gridCol w:w="3120"/>
        <w:gridCol w:w="3120"/>
      </w:tblGrid>
      <w:tr w:rsidR="00EB77EF" w:rsidRPr="00F5611F" w14:paraId="42516B6B" w14:textId="77777777">
        <w:trPr>
          <w:tblHeader/>
        </w:trPr>
        <w:tc>
          <w:tcPr>
            <w:tcW w:w="3120" w:type="dxa"/>
            <w:shd w:val="clear" w:color="auto" w:fill="F2F2F2"/>
          </w:tcPr>
          <w:p w14:paraId="3D966331"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Teoría</w:t>
            </w:r>
            <w:proofErr w:type="spellEnd"/>
          </w:p>
        </w:tc>
        <w:tc>
          <w:tcPr>
            <w:tcW w:w="3120" w:type="dxa"/>
            <w:shd w:val="clear" w:color="auto" w:fill="F2F2F2"/>
          </w:tcPr>
          <w:p w14:paraId="4D681F33" w14:textId="77777777" w:rsidR="00EB77EF" w:rsidRPr="00F5611F" w:rsidRDefault="00000000" w:rsidP="00F5611F">
            <w:pPr>
              <w:spacing w:line="360" w:lineRule="auto"/>
              <w:jc w:val="both"/>
              <w:rPr>
                <w:rFonts w:ascii="Arial" w:hAnsi="Arial" w:cs="Arial"/>
              </w:rPr>
            </w:pPr>
            <w:r w:rsidRPr="00F5611F">
              <w:rPr>
                <w:rFonts w:ascii="Arial" w:hAnsi="Arial" w:cs="Arial"/>
              </w:rPr>
              <w:t>Autores</w:t>
            </w:r>
          </w:p>
        </w:tc>
        <w:tc>
          <w:tcPr>
            <w:tcW w:w="3120" w:type="dxa"/>
            <w:shd w:val="clear" w:color="auto" w:fill="F2F2F2"/>
          </w:tcPr>
          <w:p w14:paraId="2E81BD8C"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Implicación</w:t>
            </w:r>
            <w:proofErr w:type="spellEnd"/>
            <w:r w:rsidRPr="00F5611F">
              <w:rPr>
                <w:rFonts w:ascii="Arial" w:hAnsi="Arial" w:cs="Arial"/>
              </w:rPr>
              <w:t xml:space="preserve"> para </w:t>
            </w:r>
            <w:proofErr w:type="spellStart"/>
            <w:r w:rsidRPr="00F5611F">
              <w:rPr>
                <w:rFonts w:ascii="Arial" w:hAnsi="Arial" w:cs="Arial"/>
              </w:rPr>
              <w:t>pymes</w:t>
            </w:r>
            <w:proofErr w:type="spellEnd"/>
          </w:p>
        </w:tc>
      </w:tr>
      <w:tr w:rsidR="00EB77EF" w:rsidRPr="00341CD7" w14:paraId="1501ACCD" w14:textId="77777777">
        <w:tc>
          <w:tcPr>
            <w:tcW w:w="3120" w:type="dxa"/>
          </w:tcPr>
          <w:p w14:paraId="4892AD41"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Racionamiento de crédito por información asimétrica</w:t>
            </w:r>
          </w:p>
        </w:tc>
        <w:tc>
          <w:tcPr>
            <w:tcW w:w="3120" w:type="dxa"/>
          </w:tcPr>
          <w:p w14:paraId="3E0D7818" w14:textId="77777777" w:rsidR="00EB77EF" w:rsidRPr="00F5611F" w:rsidRDefault="00000000" w:rsidP="00F5611F">
            <w:pPr>
              <w:spacing w:line="360" w:lineRule="auto"/>
              <w:jc w:val="both"/>
              <w:rPr>
                <w:rFonts w:ascii="Arial" w:hAnsi="Arial" w:cs="Arial"/>
              </w:rPr>
            </w:pPr>
            <w:r w:rsidRPr="00F5611F">
              <w:rPr>
                <w:rFonts w:ascii="Arial" w:hAnsi="Arial" w:cs="Arial"/>
              </w:rPr>
              <w:t>Stiglitz y Weiss (1981)</w:t>
            </w:r>
          </w:p>
        </w:tc>
        <w:tc>
          <w:tcPr>
            <w:tcW w:w="3120" w:type="dxa"/>
          </w:tcPr>
          <w:p w14:paraId="25C516A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Los bancos limitan cantidad en vez de subir tasa; las pymes opacas quedan fuera</w:t>
            </w:r>
          </w:p>
        </w:tc>
      </w:tr>
      <w:tr w:rsidR="00EB77EF" w:rsidRPr="00341CD7" w14:paraId="0D0CB347" w14:textId="77777777">
        <w:tc>
          <w:tcPr>
            <w:tcW w:w="3120" w:type="dxa"/>
          </w:tcPr>
          <w:p w14:paraId="7C4F028B"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Jerarquía de financiamiento (</w:t>
            </w:r>
            <w:r w:rsidRPr="00F5611F">
              <w:rPr>
                <w:rFonts w:ascii="Arial" w:hAnsi="Arial" w:cs="Arial"/>
                <w:i/>
                <w:lang w:val="es-MX"/>
              </w:rPr>
              <w:t>pecking order</w:t>
            </w:r>
            <w:r w:rsidRPr="00F5611F">
              <w:rPr>
                <w:rFonts w:ascii="Arial" w:hAnsi="Arial" w:cs="Arial"/>
                <w:lang w:val="es-MX"/>
              </w:rPr>
              <w:t>)</w:t>
            </w:r>
          </w:p>
        </w:tc>
        <w:tc>
          <w:tcPr>
            <w:tcW w:w="3120" w:type="dxa"/>
          </w:tcPr>
          <w:p w14:paraId="7E219909" w14:textId="77777777" w:rsidR="00EB77EF" w:rsidRPr="00F5611F" w:rsidRDefault="00000000" w:rsidP="00F5611F">
            <w:pPr>
              <w:spacing w:line="360" w:lineRule="auto"/>
              <w:jc w:val="both"/>
              <w:rPr>
                <w:rFonts w:ascii="Arial" w:hAnsi="Arial" w:cs="Arial"/>
              </w:rPr>
            </w:pPr>
            <w:r w:rsidRPr="00F5611F">
              <w:rPr>
                <w:rFonts w:ascii="Arial" w:hAnsi="Arial" w:cs="Arial"/>
              </w:rPr>
              <w:t>Myers y Majluf (1984)</w:t>
            </w:r>
          </w:p>
        </w:tc>
        <w:tc>
          <w:tcPr>
            <w:tcW w:w="3120" w:type="dxa"/>
          </w:tcPr>
          <w:p w14:paraId="69F8E8ED"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Prefieren recursos propios, luego deuda; explica la autoexclusión</w:t>
            </w:r>
          </w:p>
        </w:tc>
      </w:tr>
      <w:tr w:rsidR="00EB77EF" w:rsidRPr="00341CD7" w14:paraId="30411751" w14:textId="77777777">
        <w:tc>
          <w:tcPr>
            <w:tcW w:w="3120" w:type="dxa"/>
          </w:tcPr>
          <w:p w14:paraId="3B4662D7"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Ciclo de </w:t>
            </w:r>
            <w:proofErr w:type="spellStart"/>
            <w:r w:rsidRPr="00F5611F">
              <w:rPr>
                <w:rFonts w:ascii="Arial" w:hAnsi="Arial" w:cs="Arial"/>
              </w:rPr>
              <w:t>crecimiento</w:t>
            </w:r>
            <w:proofErr w:type="spellEnd"/>
            <w:r w:rsidRPr="00F5611F">
              <w:rPr>
                <w:rFonts w:ascii="Arial" w:hAnsi="Arial" w:cs="Arial"/>
              </w:rPr>
              <w:t xml:space="preserve"> </w:t>
            </w:r>
            <w:proofErr w:type="spellStart"/>
            <w:r w:rsidRPr="00F5611F">
              <w:rPr>
                <w:rFonts w:ascii="Arial" w:hAnsi="Arial" w:cs="Arial"/>
              </w:rPr>
              <w:t>financiero</w:t>
            </w:r>
            <w:proofErr w:type="spellEnd"/>
          </w:p>
        </w:tc>
        <w:tc>
          <w:tcPr>
            <w:tcW w:w="3120" w:type="dxa"/>
          </w:tcPr>
          <w:p w14:paraId="164AA6DA" w14:textId="77777777" w:rsidR="00EB77EF" w:rsidRPr="00F5611F" w:rsidRDefault="00000000" w:rsidP="00F5611F">
            <w:pPr>
              <w:spacing w:line="360" w:lineRule="auto"/>
              <w:jc w:val="both"/>
              <w:rPr>
                <w:rFonts w:ascii="Arial" w:hAnsi="Arial" w:cs="Arial"/>
              </w:rPr>
            </w:pPr>
            <w:r w:rsidRPr="00F5611F">
              <w:rPr>
                <w:rFonts w:ascii="Arial" w:hAnsi="Arial" w:cs="Arial"/>
              </w:rPr>
              <w:t>Berger y Udell (1998)</w:t>
            </w:r>
          </w:p>
        </w:tc>
        <w:tc>
          <w:tcPr>
            <w:tcW w:w="3120" w:type="dxa"/>
          </w:tcPr>
          <w:p w14:paraId="48EFBD61"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fuente óptima cambia con tamaño, edad e información de la empresa</w:t>
            </w:r>
          </w:p>
        </w:tc>
      </w:tr>
      <w:tr w:rsidR="00EB77EF" w:rsidRPr="00341CD7" w14:paraId="00096861" w14:textId="77777777">
        <w:tc>
          <w:tcPr>
            <w:tcW w:w="3120" w:type="dxa"/>
          </w:tcPr>
          <w:p w14:paraId="4C28598A"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Acceso como restricción al crecimiento</w:t>
            </w:r>
          </w:p>
        </w:tc>
        <w:tc>
          <w:tcPr>
            <w:tcW w:w="3120" w:type="dxa"/>
          </w:tcPr>
          <w:p w14:paraId="42FFD82D" w14:textId="77777777" w:rsidR="00EB77EF" w:rsidRPr="00F5611F" w:rsidRDefault="00000000" w:rsidP="00F5611F">
            <w:pPr>
              <w:spacing w:line="360" w:lineRule="auto"/>
              <w:jc w:val="both"/>
              <w:rPr>
                <w:rFonts w:ascii="Arial" w:hAnsi="Arial" w:cs="Arial"/>
              </w:rPr>
            </w:pPr>
            <w:r w:rsidRPr="00F5611F">
              <w:rPr>
                <w:rFonts w:ascii="Arial" w:hAnsi="Arial" w:cs="Arial"/>
              </w:rPr>
              <w:t>Beck y Demirgüç-Kunt (2006)</w:t>
            </w:r>
          </w:p>
        </w:tc>
        <w:tc>
          <w:tcPr>
            <w:tcW w:w="3120" w:type="dxa"/>
          </w:tcPr>
          <w:p w14:paraId="6C15166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Las pymes crecen menos por falta de financiamiento, más que las grandes</w:t>
            </w:r>
          </w:p>
        </w:tc>
      </w:tr>
      <w:tr w:rsidR="00EB77EF" w:rsidRPr="00341CD7" w14:paraId="13DF1350" w14:textId="77777777">
        <w:tc>
          <w:tcPr>
            <w:tcW w:w="3120" w:type="dxa"/>
          </w:tcPr>
          <w:p w14:paraId="03F60791" w14:textId="77777777" w:rsidR="00EB77EF" w:rsidRPr="00F5611F" w:rsidRDefault="00000000" w:rsidP="00F5611F">
            <w:pPr>
              <w:spacing w:line="360" w:lineRule="auto"/>
              <w:jc w:val="both"/>
              <w:rPr>
                <w:rFonts w:ascii="Arial" w:hAnsi="Arial" w:cs="Arial"/>
              </w:rPr>
            </w:pPr>
            <w:r w:rsidRPr="00F5611F">
              <w:rPr>
                <w:rFonts w:ascii="Arial" w:hAnsi="Arial" w:cs="Arial"/>
              </w:rPr>
              <w:lastRenderedPageBreak/>
              <w:t xml:space="preserve">Banca </w:t>
            </w:r>
            <w:proofErr w:type="spellStart"/>
            <w:r w:rsidRPr="00F5611F">
              <w:rPr>
                <w:rFonts w:ascii="Arial" w:hAnsi="Arial" w:cs="Arial"/>
              </w:rPr>
              <w:t>relacional</w:t>
            </w:r>
            <w:proofErr w:type="spellEnd"/>
          </w:p>
        </w:tc>
        <w:tc>
          <w:tcPr>
            <w:tcW w:w="3120" w:type="dxa"/>
          </w:tcPr>
          <w:p w14:paraId="108CED3E" w14:textId="77777777" w:rsidR="00EB77EF" w:rsidRPr="00F5611F" w:rsidRDefault="00000000" w:rsidP="00F5611F">
            <w:pPr>
              <w:spacing w:line="360" w:lineRule="auto"/>
              <w:jc w:val="both"/>
              <w:rPr>
                <w:rFonts w:ascii="Arial" w:hAnsi="Arial" w:cs="Arial"/>
              </w:rPr>
            </w:pPr>
            <w:r w:rsidRPr="00F5611F">
              <w:rPr>
                <w:rFonts w:ascii="Arial" w:hAnsi="Arial" w:cs="Arial"/>
              </w:rPr>
              <w:t>Berger y Udell (1995)</w:t>
            </w:r>
          </w:p>
        </w:tc>
        <w:tc>
          <w:tcPr>
            <w:tcW w:w="3120" w:type="dxa"/>
          </w:tcPr>
          <w:p w14:paraId="0976211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relación de largo plazo sustituye garantías e historial</w:t>
            </w:r>
          </w:p>
        </w:tc>
      </w:tr>
    </w:tbl>
    <w:p w14:paraId="6FF4A3B1" w14:textId="46F18F1D" w:rsidR="00EB77EF" w:rsidRPr="00F5611F" w:rsidRDefault="00000000" w:rsidP="00F5611F">
      <w:pPr>
        <w:spacing w:line="360" w:lineRule="auto"/>
        <w:jc w:val="both"/>
        <w:rPr>
          <w:rFonts w:ascii="Arial" w:hAnsi="Arial" w:cs="Arial"/>
          <w:lang w:val="es-MX"/>
        </w:rPr>
      </w:pPr>
      <w:r w:rsidRPr="00F5611F">
        <w:rPr>
          <w:rFonts w:ascii="Arial" w:hAnsi="Arial" w:cs="Arial"/>
          <w:lang w:val="es-MX"/>
        </w:rPr>
        <w:t>Todas estas teorías apuntan a lo mismo: el fondo del problema es de información y de confianza entre quien presta y quien pide. Y como en América Latina el banco es casi la única fuente externa de la pyme las grandes también pueden acudir al mercado de valores, ese problema se vuelve decisivo (</w:t>
      </w:r>
      <w:r w:rsidR="00EB77EF">
        <w:fldChar w:fldCharType="begin"/>
      </w:r>
      <w:r w:rsidR="00EB77EF" w:rsidRPr="00341CD7">
        <w:rPr>
          <w:lang w:val="es-MX"/>
        </w:rPr>
        <w:instrText>HYPERLINK "https://www.redalyc.org/pdf/6740/674070965001.pdf"</w:instrText>
      </w:r>
      <w:r w:rsidR="00EB77EF">
        <w:fldChar w:fldCharType="separate"/>
      </w:r>
      <w:r w:rsidR="00EB77EF" w:rsidRPr="00F5611F">
        <w:rPr>
          <w:rStyle w:val="Hipervnculo"/>
          <w:rFonts w:ascii="Arial" w:hAnsi="Arial" w:cs="Arial"/>
          <w:lang w:val="es-MX"/>
        </w:rPr>
        <w:t>Redalyc</w:t>
      </w:r>
      <w:r w:rsidR="00EB77EF">
        <w:fldChar w:fldCharType="end"/>
      </w:r>
      <w:r w:rsidRPr="00F5611F">
        <w:rPr>
          <w:rFonts w:ascii="Arial" w:hAnsi="Arial" w:cs="Arial"/>
          <w:lang w:val="es-MX"/>
        </w:rPr>
        <w:t>). La siguiente sección muestra qué tan grande es en México.</w:t>
      </w:r>
    </w:p>
    <w:p w14:paraId="1738BDD3" w14:textId="77777777" w:rsidR="00EB77EF" w:rsidRPr="00F5611F" w:rsidRDefault="00000000" w:rsidP="00F5611F">
      <w:pPr>
        <w:pStyle w:val="Ttulo2"/>
        <w:spacing w:line="360" w:lineRule="auto"/>
        <w:jc w:val="both"/>
        <w:rPr>
          <w:rFonts w:ascii="Arial" w:hAnsi="Arial" w:cs="Arial"/>
          <w:sz w:val="22"/>
          <w:lang w:val="es-MX"/>
        </w:rPr>
      </w:pPr>
      <w:r w:rsidRPr="00F5611F">
        <w:rPr>
          <w:rFonts w:ascii="Arial" w:hAnsi="Arial" w:cs="Arial"/>
          <w:sz w:val="22"/>
          <w:lang w:val="es-MX"/>
        </w:rPr>
        <w:t>2. Las pymes: donde la exclusión pesa más</w:t>
      </w:r>
    </w:p>
    <w:p w14:paraId="76D706F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Los números dibujan una paradoja. Las mipymes suman 5.4 millones de unidades y dan trabajo a 19.6 millones de personas, pero solo 4.4% tiene financiamiento bancario (</w:t>
      </w:r>
      <w:r w:rsidR="00EB77EF">
        <w:fldChar w:fldCharType="begin"/>
      </w:r>
      <w:r w:rsidR="00EB77EF" w:rsidRPr="00341CD7">
        <w:rPr>
          <w:lang w:val="es-MX"/>
        </w:rPr>
        <w:instrText>HYPERLINK "https://www.excelsior.com.mx/nacional/gobierno-de-mexico-y-asociacion-de-bancos-acuerdan-incrementar-financiamiento-de-pymes"</w:instrText>
      </w:r>
      <w:r w:rsidR="00EB77EF">
        <w:fldChar w:fldCharType="separate"/>
      </w:r>
      <w:r w:rsidR="00EB77EF" w:rsidRPr="00F5611F">
        <w:rPr>
          <w:rStyle w:val="Hipervnculo"/>
          <w:rFonts w:ascii="Arial" w:hAnsi="Arial" w:cs="Arial"/>
          <w:lang w:val="es-MX"/>
        </w:rPr>
        <w:t>Excélsior</w:t>
      </w:r>
      <w:r w:rsidR="00EB77EF">
        <w:fldChar w:fldCharType="end"/>
      </w:r>
      <w:r w:rsidRPr="00F5611F">
        <w:rPr>
          <w:rFonts w:ascii="Arial" w:hAnsi="Arial" w:cs="Arial"/>
          <w:lang w:val="es-MX"/>
        </w:rPr>
        <w:t>). Justo ahí, en la empresa pequeña, es donde los problemas de información y confianza de la sección anterior se vuelven concretos. La tabla reúne lo que dicen las encuestas oficiales más recientes.</w:t>
      </w:r>
    </w:p>
    <w:tbl>
      <w:tblPr>
        <w:tblStyle w:val="Tablaconcuadrcula"/>
        <w:tblW w:w="0" w:type="auto"/>
        <w:tblLayout w:type="fixed"/>
        <w:tblLook w:val="0420" w:firstRow="1" w:lastRow="0" w:firstColumn="0" w:lastColumn="0" w:noHBand="0" w:noVBand="1"/>
      </w:tblPr>
      <w:tblGrid>
        <w:gridCol w:w="3120"/>
        <w:gridCol w:w="3120"/>
        <w:gridCol w:w="3120"/>
      </w:tblGrid>
      <w:tr w:rsidR="00EB77EF" w:rsidRPr="00F5611F" w14:paraId="48C687F1" w14:textId="77777777">
        <w:trPr>
          <w:tblHeader/>
        </w:trPr>
        <w:tc>
          <w:tcPr>
            <w:tcW w:w="3120" w:type="dxa"/>
            <w:shd w:val="clear" w:color="auto" w:fill="F2F2F2"/>
          </w:tcPr>
          <w:p w14:paraId="32331E3A"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Indicador</w:t>
            </w:r>
            <w:proofErr w:type="spellEnd"/>
          </w:p>
        </w:tc>
        <w:tc>
          <w:tcPr>
            <w:tcW w:w="3120" w:type="dxa"/>
            <w:shd w:val="clear" w:color="auto" w:fill="F2F2F2"/>
          </w:tcPr>
          <w:p w14:paraId="6E1B7182" w14:textId="77777777" w:rsidR="00EB77EF" w:rsidRPr="00F5611F" w:rsidRDefault="00000000" w:rsidP="00F5611F">
            <w:pPr>
              <w:spacing w:line="360" w:lineRule="auto"/>
              <w:jc w:val="both"/>
              <w:rPr>
                <w:rFonts w:ascii="Arial" w:hAnsi="Arial" w:cs="Arial"/>
              </w:rPr>
            </w:pPr>
            <w:r w:rsidRPr="00F5611F">
              <w:rPr>
                <w:rFonts w:ascii="Arial" w:hAnsi="Arial" w:cs="Arial"/>
              </w:rPr>
              <w:t>Valor</w:t>
            </w:r>
          </w:p>
        </w:tc>
        <w:tc>
          <w:tcPr>
            <w:tcW w:w="3120" w:type="dxa"/>
            <w:shd w:val="clear" w:color="auto" w:fill="F2F2F2"/>
          </w:tcPr>
          <w:p w14:paraId="2DDE6B48" w14:textId="77777777" w:rsidR="00EB77EF" w:rsidRPr="00F5611F" w:rsidRDefault="00000000" w:rsidP="00F5611F">
            <w:pPr>
              <w:spacing w:line="360" w:lineRule="auto"/>
              <w:jc w:val="both"/>
              <w:rPr>
                <w:rFonts w:ascii="Arial" w:hAnsi="Arial" w:cs="Arial"/>
              </w:rPr>
            </w:pPr>
            <w:r w:rsidRPr="00F5611F">
              <w:rPr>
                <w:rFonts w:ascii="Arial" w:hAnsi="Arial" w:cs="Arial"/>
              </w:rPr>
              <w:t>Fuente</w:t>
            </w:r>
          </w:p>
        </w:tc>
      </w:tr>
      <w:tr w:rsidR="00EB77EF" w:rsidRPr="00341CD7" w14:paraId="65F1603C" w14:textId="77777777">
        <w:tc>
          <w:tcPr>
            <w:tcW w:w="3120" w:type="dxa"/>
          </w:tcPr>
          <w:p w14:paraId="0359F9C7"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Mipymes</w:t>
            </w:r>
            <w:proofErr w:type="spellEnd"/>
            <w:r w:rsidRPr="00F5611F">
              <w:rPr>
                <w:rFonts w:ascii="Arial" w:hAnsi="Arial" w:cs="Arial"/>
              </w:rPr>
              <w:t xml:space="preserve"> </w:t>
            </w:r>
            <w:proofErr w:type="spellStart"/>
            <w:r w:rsidRPr="00F5611F">
              <w:rPr>
                <w:rFonts w:ascii="Arial" w:hAnsi="Arial" w:cs="Arial"/>
              </w:rPr>
              <w:t>en</w:t>
            </w:r>
            <w:proofErr w:type="spellEnd"/>
            <w:r w:rsidRPr="00F5611F">
              <w:rPr>
                <w:rFonts w:ascii="Arial" w:hAnsi="Arial" w:cs="Arial"/>
              </w:rPr>
              <w:t xml:space="preserve"> el </w:t>
            </w:r>
            <w:proofErr w:type="spellStart"/>
            <w:r w:rsidRPr="00F5611F">
              <w:rPr>
                <w:rFonts w:ascii="Arial" w:hAnsi="Arial" w:cs="Arial"/>
              </w:rPr>
              <w:t>país</w:t>
            </w:r>
            <w:proofErr w:type="spellEnd"/>
          </w:p>
        </w:tc>
        <w:tc>
          <w:tcPr>
            <w:tcW w:w="3120" w:type="dxa"/>
          </w:tcPr>
          <w:p w14:paraId="2DCFF6E0"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5.4 </w:t>
            </w:r>
            <w:proofErr w:type="spellStart"/>
            <w:r w:rsidRPr="00F5611F">
              <w:rPr>
                <w:rFonts w:ascii="Arial" w:hAnsi="Arial" w:cs="Arial"/>
              </w:rPr>
              <w:t>millones</w:t>
            </w:r>
            <w:proofErr w:type="spellEnd"/>
          </w:p>
        </w:tc>
        <w:tc>
          <w:tcPr>
            <w:tcW w:w="3120" w:type="dxa"/>
          </w:tcPr>
          <w:p w14:paraId="1E3EAFF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SHCP con datos INEGI 2024 (</w:t>
            </w:r>
            <w:r w:rsidR="00EB77EF">
              <w:fldChar w:fldCharType="begin"/>
            </w:r>
            <w:r w:rsidR="00EB77EF" w:rsidRPr="00341CD7">
              <w:rPr>
                <w:lang w:val="es-MX"/>
              </w:rPr>
              <w:instrText>HYPERLINK "https://www.excelsior.com.mx/nacional/gobierno-de-mexico-y-asociacion-de-bancos-acuerdan-incrementar-financiamiento-de-pymes"</w:instrText>
            </w:r>
            <w:r w:rsidR="00EB77EF">
              <w:fldChar w:fldCharType="separate"/>
            </w:r>
            <w:r w:rsidR="00EB77EF" w:rsidRPr="00F5611F">
              <w:rPr>
                <w:rStyle w:val="Hipervnculo"/>
                <w:rFonts w:ascii="Arial" w:hAnsi="Arial" w:cs="Arial"/>
                <w:lang w:val="es-MX"/>
              </w:rPr>
              <w:t>Excélsior</w:t>
            </w:r>
            <w:r w:rsidR="00EB77EF">
              <w:fldChar w:fldCharType="end"/>
            </w:r>
            <w:r w:rsidRPr="00F5611F">
              <w:rPr>
                <w:rFonts w:ascii="Arial" w:hAnsi="Arial" w:cs="Arial"/>
                <w:lang w:val="es-MX"/>
              </w:rPr>
              <w:t>)</w:t>
            </w:r>
          </w:p>
        </w:tc>
      </w:tr>
      <w:tr w:rsidR="00EB77EF" w:rsidRPr="00F5611F" w14:paraId="65076D52" w14:textId="77777777">
        <w:tc>
          <w:tcPr>
            <w:tcW w:w="3120" w:type="dxa"/>
          </w:tcPr>
          <w:p w14:paraId="7805BEE7"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Participación</w:t>
            </w:r>
            <w:proofErr w:type="spellEnd"/>
            <w:r w:rsidRPr="00F5611F">
              <w:rPr>
                <w:rFonts w:ascii="Arial" w:hAnsi="Arial" w:cs="Arial"/>
              </w:rPr>
              <w:t xml:space="preserve"> </w:t>
            </w:r>
            <w:proofErr w:type="spellStart"/>
            <w:r w:rsidRPr="00F5611F">
              <w:rPr>
                <w:rFonts w:ascii="Arial" w:hAnsi="Arial" w:cs="Arial"/>
              </w:rPr>
              <w:t>en</w:t>
            </w:r>
            <w:proofErr w:type="spellEnd"/>
            <w:r w:rsidRPr="00F5611F">
              <w:rPr>
                <w:rFonts w:ascii="Arial" w:hAnsi="Arial" w:cs="Arial"/>
              </w:rPr>
              <w:t xml:space="preserve"> el </w:t>
            </w:r>
            <w:proofErr w:type="spellStart"/>
            <w:r w:rsidRPr="00F5611F">
              <w:rPr>
                <w:rFonts w:ascii="Arial" w:hAnsi="Arial" w:cs="Arial"/>
              </w:rPr>
              <w:t>empleo</w:t>
            </w:r>
            <w:proofErr w:type="spellEnd"/>
          </w:p>
        </w:tc>
        <w:tc>
          <w:tcPr>
            <w:tcW w:w="3120" w:type="dxa"/>
          </w:tcPr>
          <w:p w14:paraId="0F798D58"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70.6% (19.6 </w:t>
            </w:r>
            <w:proofErr w:type="spellStart"/>
            <w:r w:rsidRPr="00F5611F">
              <w:rPr>
                <w:rFonts w:ascii="Arial" w:hAnsi="Arial" w:cs="Arial"/>
              </w:rPr>
              <w:t>millones</w:t>
            </w:r>
            <w:proofErr w:type="spellEnd"/>
            <w:r w:rsidRPr="00F5611F">
              <w:rPr>
                <w:rFonts w:ascii="Arial" w:hAnsi="Arial" w:cs="Arial"/>
              </w:rPr>
              <w:t xml:space="preserve"> de personas)</w:t>
            </w:r>
          </w:p>
        </w:tc>
        <w:tc>
          <w:tcPr>
            <w:tcW w:w="3120" w:type="dxa"/>
          </w:tcPr>
          <w:p w14:paraId="45303253"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1BEA533A" w14:textId="77777777">
        <w:tc>
          <w:tcPr>
            <w:tcW w:w="3120" w:type="dxa"/>
          </w:tcPr>
          <w:p w14:paraId="68F9D474"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Propiedad</w:t>
            </w:r>
            <w:proofErr w:type="spellEnd"/>
            <w:r w:rsidRPr="00F5611F">
              <w:rPr>
                <w:rFonts w:ascii="Arial" w:hAnsi="Arial" w:cs="Arial"/>
              </w:rPr>
              <w:t xml:space="preserve"> </w:t>
            </w:r>
            <w:proofErr w:type="spellStart"/>
            <w:r w:rsidRPr="00F5611F">
              <w:rPr>
                <w:rFonts w:ascii="Arial" w:hAnsi="Arial" w:cs="Arial"/>
              </w:rPr>
              <w:t>femenina</w:t>
            </w:r>
            <w:proofErr w:type="spellEnd"/>
          </w:p>
        </w:tc>
        <w:tc>
          <w:tcPr>
            <w:tcW w:w="3120" w:type="dxa"/>
          </w:tcPr>
          <w:p w14:paraId="53585509" w14:textId="77777777" w:rsidR="00EB77EF" w:rsidRPr="00F5611F" w:rsidRDefault="00000000" w:rsidP="00F5611F">
            <w:pPr>
              <w:spacing w:line="360" w:lineRule="auto"/>
              <w:jc w:val="both"/>
              <w:rPr>
                <w:rFonts w:ascii="Arial" w:hAnsi="Arial" w:cs="Arial"/>
              </w:rPr>
            </w:pPr>
            <w:r w:rsidRPr="00F5611F">
              <w:rPr>
                <w:rFonts w:ascii="Arial" w:hAnsi="Arial" w:cs="Arial"/>
              </w:rPr>
              <w:t>34%</w:t>
            </w:r>
          </w:p>
        </w:tc>
        <w:tc>
          <w:tcPr>
            <w:tcW w:w="3120" w:type="dxa"/>
          </w:tcPr>
          <w:p w14:paraId="7EC30D83"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5E9B233C" w14:textId="77777777">
        <w:tc>
          <w:tcPr>
            <w:tcW w:w="3120" w:type="dxa"/>
          </w:tcPr>
          <w:p w14:paraId="07879C7C"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Mipymes</w:t>
            </w:r>
            <w:proofErr w:type="spellEnd"/>
            <w:r w:rsidRPr="00F5611F">
              <w:rPr>
                <w:rFonts w:ascii="Arial" w:hAnsi="Arial" w:cs="Arial"/>
              </w:rPr>
              <w:t xml:space="preserve"> con </w:t>
            </w:r>
            <w:proofErr w:type="spellStart"/>
            <w:r w:rsidRPr="00F5611F">
              <w:rPr>
                <w:rFonts w:ascii="Arial" w:hAnsi="Arial" w:cs="Arial"/>
              </w:rPr>
              <w:t>financiamiento</w:t>
            </w:r>
            <w:proofErr w:type="spellEnd"/>
            <w:r w:rsidRPr="00F5611F">
              <w:rPr>
                <w:rFonts w:ascii="Arial" w:hAnsi="Arial" w:cs="Arial"/>
              </w:rPr>
              <w:t xml:space="preserve"> </w:t>
            </w:r>
            <w:proofErr w:type="spellStart"/>
            <w:r w:rsidRPr="00F5611F">
              <w:rPr>
                <w:rFonts w:ascii="Arial" w:hAnsi="Arial" w:cs="Arial"/>
              </w:rPr>
              <w:t>bancario</w:t>
            </w:r>
            <w:proofErr w:type="spellEnd"/>
          </w:p>
        </w:tc>
        <w:tc>
          <w:tcPr>
            <w:tcW w:w="3120" w:type="dxa"/>
          </w:tcPr>
          <w:p w14:paraId="788AEE4D" w14:textId="77777777" w:rsidR="00EB77EF" w:rsidRPr="00F5611F" w:rsidRDefault="00000000" w:rsidP="00F5611F">
            <w:pPr>
              <w:spacing w:line="360" w:lineRule="auto"/>
              <w:jc w:val="both"/>
              <w:rPr>
                <w:rFonts w:ascii="Arial" w:hAnsi="Arial" w:cs="Arial"/>
              </w:rPr>
            </w:pPr>
            <w:r w:rsidRPr="00F5611F">
              <w:rPr>
                <w:rFonts w:ascii="Arial" w:hAnsi="Arial" w:cs="Arial"/>
              </w:rPr>
              <w:t>4.4%</w:t>
            </w:r>
          </w:p>
        </w:tc>
        <w:tc>
          <w:tcPr>
            <w:tcW w:w="3120" w:type="dxa"/>
          </w:tcPr>
          <w:p w14:paraId="04E4F517"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48965F62" w14:textId="77777777">
        <w:tc>
          <w:tcPr>
            <w:tcW w:w="3120" w:type="dxa"/>
          </w:tcPr>
          <w:p w14:paraId="00A39143"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Empresas que han solicitado crédito alguna vez</w:t>
            </w:r>
          </w:p>
        </w:tc>
        <w:tc>
          <w:tcPr>
            <w:tcW w:w="3120" w:type="dxa"/>
          </w:tcPr>
          <w:p w14:paraId="1E08705D"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50.0%; 45.9% ha </w:t>
            </w:r>
            <w:proofErr w:type="spellStart"/>
            <w:r w:rsidRPr="00F5611F">
              <w:rPr>
                <w:rFonts w:ascii="Arial" w:hAnsi="Arial" w:cs="Arial"/>
              </w:rPr>
              <w:t>tenido</w:t>
            </w:r>
            <w:proofErr w:type="spellEnd"/>
            <w:r w:rsidRPr="00F5611F">
              <w:rPr>
                <w:rFonts w:ascii="Arial" w:hAnsi="Arial" w:cs="Arial"/>
              </w:rPr>
              <w:t xml:space="preserve"> </w:t>
            </w:r>
            <w:proofErr w:type="spellStart"/>
            <w:r w:rsidRPr="00F5611F">
              <w:rPr>
                <w:rFonts w:ascii="Arial" w:hAnsi="Arial" w:cs="Arial"/>
              </w:rPr>
              <w:t>financiamiento</w:t>
            </w:r>
            <w:proofErr w:type="spellEnd"/>
          </w:p>
        </w:tc>
        <w:tc>
          <w:tcPr>
            <w:tcW w:w="3120" w:type="dxa"/>
          </w:tcPr>
          <w:p w14:paraId="44CB5C07" w14:textId="77777777" w:rsidR="00EB77EF" w:rsidRPr="00F5611F" w:rsidRDefault="00000000" w:rsidP="00F5611F">
            <w:pPr>
              <w:spacing w:line="360" w:lineRule="auto"/>
              <w:jc w:val="both"/>
              <w:rPr>
                <w:rFonts w:ascii="Arial" w:hAnsi="Arial" w:cs="Arial"/>
              </w:rPr>
            </w:pPr>
            <w:r w:rsidRPr="00F5611F">
              <w:rPr>
                <w:rFonts w:ascii="Arial" w:hAnsi="Arial" w:cs="Arial"/>
              </w:rPr>
              <w:t>ENAFIN 2024 (</w:t>
            </w:r>
            <w:hyperlink r:id="rId5" w:history="1">
              <w:r w:rsidR="00EB77EF" w:rsidRPr="00F5611F">
                <w:rPr>
                  <w:rStyle w:val="Hipervnculo"/>
                  <w:rFonts w:ascii="Arial" w:hAnsi="Arial" w:cs="Arial"/>
                </w:rPr>
                <w:t>INEGI</w:t>
              </w:r>
            </w:hyperlink>
            <w:r w:rsidRPr="00F5611F">
              <w:rPr>
                <w:rFonts w:ascii="Arial" w:hAnsi="Arial" w:cs="Arial"/>
              </w:rPr>
              <w:t>)</w:t>
            </w:r>
          </w:p>
        </w:tc>
      </w:tr>
      <w:tr w:rsidR="00EB77EF" w:rsidRPr="00F5611F" w14:paraId="4B1B1D54" w14:textId="77777777">
        <w:tc>
          <w:tcPr>
            <w:tcW w:w="3120" w:type="dxa"/>
          </w:tcPr>
          <w:p w14:paraId="4BD604DF"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Solicitaron</w:t>
            </w:r>
            <w:proofErr w:type="spellEnd"/>
            <w:r w:rsidRPr="00F5611F">
              <w:rPr>
                <w:rFonts w:ascii="Arial" w:hAnsi="Arial" w:cs="Arial"/>
              </w:rPr>
              <w:t xml:space="preserve"> </w:t>
            </w:r>
            <w:proofErr w:type="spellStart"/>
            <w:r w:rsidRPr="00F5611F">
              <w:rPr>
                <w:rFonts w:ascii="Arial" w:hAnsi="Arial" w:cs="Arial"/>
              </w:rPr>
              <w:t>crédito</w:t>
            </w:r>
            <w:proofErr w:type="spellEnd"/>
            <w:r w:rsidRPr="00F5611F">
              <w:rPr>
                <w:rFonts w:ascii="Arial" w:hAnsi="Arial" w:cs="Arial"/>
              </w:rPr>
              <w:t xml:space="preserve"> 2022–2024, </w:t>
            </w:r>
            <w:proofErr w:type="spellStart"/>
            <w:r w:rsidRPr="00F5611F">
              <w:rPr>
                <w:rFonts w:ascii="Arial" w:hAnsi="Arial" w:cs="Arial"/>
              </w:rPr>
              <w:t>por</w:t>
            </w:r>
            <w:proofErr w:type="spellEnd"/>
            <w:r w:rsidRPr="00F5611F">
              <w:rPr>
                <w:rFonts w:ascii="Arial" w:hAnsi="Arial" w:cs="Arial"/>
              </w:rPr>
              <w:t xml:space="preserve"> </w:t>
            </w:r>
            <w:proofErr w:type="spellStart"/>
            <w:r w:rsidRPr="00F5611F">
              <w:rPr>
                <w:rFonts w:ascii="Arial" w:hAnsi="Arial" w:cs="Arial"/>
              </w:rPr>
              <w:t>tamaño</w:t>
            </w:r>
            <w:proofErr w:type="spellEnd"/>
          </w:p>
        </w:tc>
        <w:tc>
          <w:tcPr>
            <w:tcW w:w="3120" w:type="dxa"/>
          </w:tcPr>
          <w:p w14:paraId="6C85C9C8"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Micro 53.8% · </w:t>
            </w:r>
            <w:proofErr w:type="spellStart"/>
            <w:r w:rsidRPr="00F5611F">
              <w:rPr>
                <w:rFonts w:ascii="Arial" w:hAnsi="Arial" w:cs="Arial"/>
              </w:rPr>
              <w:t>pequeña</w:t>
            </w:r>
            <w:proofErr w:type="spellEnd"/>
            <w:r w:rsidRPr="00F5611F">
              <w:rPr>
                <w:rFonts w:ascii="Arial" w:hAnsi="Arial" w:cs="Arial"/>
              </w:rPr>
              <w:t xml:space="preserve"> 57.6% · </w:t>
            </w:r>
            <w:proofErr w:type="spellStart"/>
            <w:r w:rsidRPr="00F5611F">
              <w:rPr>
                <w:rFonts w:ascii="Arial" w:hAnsi="Arial" w:cs="Arial"/>
              </w:rPr>
              <w:t>mediana</w:t>
            </w:r>
            <w:proofErr w:type="spellEnd"/>
            <w:r w:rsidRPr="00F5611F">
              <w:rPr>
                <w:rFonts w:ascii="Arial" w:hAnsi="Arial" w:cs="Arial"/>
              </w:rPr>
              <w:t xml:space="preserve"> 71.3% · grande 65.1%</w:t>
            </w:r>
          </w:p>
        </w:tc>
        <w:tc>
          <w:tcPr>
            <w:tcW w:w="3120" w:type="dxa"/>
          </w:tcPr>
          <w:p w14:paraId="639AF7A3"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54A6D871" w14:textId="77777777">
        <w:tc>
          <w:tcPr>
            <w:tcW w:w="3120" w:type="dxa"/>
          </w:tcPr>
          <w:p w14:paraId="6A40F5A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Solicitantes con rechazo de su crédito mayor</w:t>
            </w:r>
          </w:p>
        </w:tc>
        <w:tc>
          <w:tcPr>
            <w:tcW w:w="3120" w:type="dxa"/>
          </w:tcPr>
          <w:p w14:paraId="591E1011" w14:textId="77777777" w:rsidR="00EB77EF" w:rsidRPr="00F5611F" w:rsidRDefault="00000000" w:rsidP="00F5611F">
            <w:pPr>
              <w:spacing w:line="360" w:lineRule="auto"/>
              <w:jc w:val="both"/>
              <w:rPr>
                <w:rFonts w:ascii="Arial" w:hAnsi="Arial" w:cs="Arial"/>
              </w:rPr>
            </w:pPr>
            <w:r w:rsidRPr="00F5611F">
              <w:rPr>
                <w:rFonts w:ascii="Arial" w:hAnsi="Arial" w:cs="Arial"/>
              </w:rPr>
              <w:t>17.1% (</w:t>
            </w:r>
            <w:proofErr w:type="spellStart"/>
            <w:r w:rsidRPr="00F5611F">
              <w:rPr>
                <w:rFonts w:ascii="Arial" w:hAnsi="Arial" w:cs="Arial"/>
              </w:rPr>
              <w:t>garantías</w:t>
            </w:r>
            <w:proofErr w:type="spellEnd"/>
            <w:r w:rsidRPr="00F5611F">
              <w:rPr>
                <w:rFonts w:ascii="Arial" w:hAnsi="Arial" w:cs="Arial"/>
              </w:rPr>
              <w:t xml:space="preserve"> </w:t>
            </w:r>
            <w:proofErr w:type="spellStart"/>
            <w:r w:rsidRPr="00F5611F">
              <w:rPr>
                <w:rFonts w:ascii="Arial" w:hAnsi="Arial" w:cs="Arial"/>
              </w:rPr>
              <w:t>insuficientes</w:t>
            </w:r>
            <w:proofErr w:type="spellEnd"/>
            <w:r w:rsidRPr="00F5611F">
              <w:rPr>
                <w:rFonts w:ascii="Arial" w:hAnsi="Arial" w:cs="Arial"/>
              </w:rPr>
              <w:t xml:space="preserve"> 21.6%, sin </w:t>
            </w:r>
            <w:proofErr w:type="spellStart"/>
            <w:r w:rsidRPr="00F5611F">
              <w:rPr>
                <w:rFonts w:ascii="Arial" w:hAnsi="Arial" w:cs="Arial"/>
              </w:rPr>
              <w:t>historial</w:t>
            </w:r>
            <w:proofErr w:type="spellEnd"/>
            <w:r w:rsidRPr="00F5611F">
              <w:rPr>
                <w:rFonts w:ascii="Arial" w:hAnsi="Arial" w:cs="Arial"/>
              </w:rPr>
              <w:t xml:space="preserve"> 18.4%)</w:t>
            </w:r>
          </w:p>
        </w:tc>
        <w:tc>
          <w:tcPr>
            <w:tcW w:w="3120" w:type="dxa"/>
          </w:tcPr>
          <w:p w14:paraId="715B3FAE"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0403EDD8" w14:textId="77777777">
        <w:tc>
          <w:tcPr>
            <w:tcW w:w="3120" w:type="dxa"/>
          </w:tcPr>
          <w:p w14:paraId="1FCA45FD" w14:textId="77777777" w:rsidR="00EB77EF" w:rsidRPr="00F5611F" w:rsidRDefault="00000000" w:rsidP="00F5611F">
            <w:pPr>
              <w:spacing w:line="360" w:lineRule="auto"/>
              <w:jc w:val="both"/>
              <w:rPr>
                <w:rFonts w:ascii="Arial" w:hAnsi="Arial" w:cs="Arial"/>
              </w:rPr>
            </w:pPr>
            <w:r w:rsidRPr="00F5611F">
              <w:rPr>
                <w:rFonts w:ascii="Arial" w:hAnsi="Arial" w:cs="Arial"/>
              </w:rPr>
              <w:lastRenderedPageBreak/>
              <w:t xml:space="preserve">Afectadas </w:t>
            </w:r>
            <w:proofErr w:type="spellStart"/>
            <w:r w:rsidRPr="00F5611F">
              <w:rPr>
                <w:rFonts w:ascii="Arial" w:hAnsi="Arial" w:cs="Arial"/>
              </w:rPr>
              <w:t>por</w:t>
            </w:r>
            <w:proofErr w:type="spellEnd"/>
            <w:r w:rsidRPr="00F5611F">
              <w:rPr>
                <w:rFonts w:ascii="Arial" w:hAnsi="Arial" w:cs="Arial"/>
              </w:rPr>
              <w:t xml:space="preserve"> no </w:t>
            </w:r>
            <w:proofErr w:type="spellStart"/>
            <w:r w:rsidRPr="00F5611F">
              <w:rPr>
                <w:rFonts w:ascii="Arial" w:hAnsi="Arial" w:cs="Arial"/>
              </w:rPr>
              <w:t>obtenerlo</w:t>
            </w:r>
            <w:proofErr w:type="spellEnd"/>
          </w:p>
        </w:tc>
        <w:tc>
          <w:tcPr>
            <w:tcW w:w="3120" w:type="dxa"/>
          </w:tcPr>
          <w:p w14:paraId="2DEBB3B5"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72.0% (45.0% </w:t>
            </w:r>
            <w:proofErr w:type="spellStart"/>
            <w:r w:rsidRPr="00F5611F">
              <w:rPr>
                <w:rFonts w:ascii="Arial" w:hAnsi="Arial" w:cs="Arial"/>
              </w:rPr>
              <w:t>retrasó</w:t>
            </w:r>
            <w:proofErr w:type="spellEnd"/>
            <w:r w:rsidRPr="00F5611F">
              <w:rPr>
                <w:rFonts w:ascii="Arial" w:hAnsi="Arial" w:cs="Arial"/>
              </w:rPr>
              <w:t xml:space="preserve"> </w:t>
            </w:r>
            <w:proofErr w:type="spellStart"/>
            <w:r w:rsidRPr="00F5611F">
              <w:rPr>
                <w:rFonts w:ascii="Arial" w:hAnsi="Arial" w:cs="Arial"/>
              </w:rPr>
              <w:t>su</w:t>
            </w:r>
            <w:proofErr w:type="spellEnd"/>
            <w:r w:rsidRPr="00F5611F">
              <w:rPr>
                <w:rFonts w:ascii="Arial" w:hAnsi="Arial" w:cs="Arial"/>
              </w:rPr>
              <w:t xml:space="preserve"> </w:t>
            </w:r>
            <w:proofErr w:type="spellStart"/>
            <w:r w:rsidRPr="00F5611F">
              <w:rPr>
                <w:rFonts w:ascii="Arial" w:hAnsi="Arial" w:cs="Arial"/>
              </w:rPr>
              <w:t>expansión</w:t>
            </w:r>
            <w:proofErr w:type="spellEnd"/>
            <w:r w:rsidRPr="00F5611F">
              <w:rPr>
                <w:rFonts w:ascii="Arial" w:hAnsi="Arial" w:cs="Arial"/>
              </w:rPr>
              <w:t>)</w:t>
            </w:r>
          </w:p>
        </w:tc>
        <w:tc>
          <w:tcPr>
            <w:tcW w:w="3120" w:type="dxa"/>
          </w:tcPr>
          <w:p w14:paraId="4659F474"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45B7CAE1" w14:textId="77777777">
        <w:tc>
          <w:tcPr>
            <w:tcW w:w="3120" w:type="dxa"/>
          </w:tcPr>
          <w:p w14:paraId="25C839EF"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Aceptan</w:t>
            </w:r>
            <w:proofErr w:type="spellEnd"/>
            <w:r w:rsidRPr="00F5611F">
              <w:rPr>
                <w:rFonts w:ascii="Arial" w:hAnsi="Arial" w:cs="Arial"/>
              </w:rPr>
              <w:t xml:space="preserve"> </w:t>
            </w:r>
            <w:proofErr w:type="spellStart"/>
            <w:r w:rsidRPr="00F5611F">
              <w:rPr>
                <w:rFonts w:ascii="Arial" w:hAnsi="Arial" w:cs="Arial"/>
              </w:rPr>
              <w:t>pago</w:t>
            </w:r>
            <w:proofErr w:type="spellEnd"/>
            <w:r w:rsidRPr="00F5611F">
              <w:rPr>
                <w:rFonts w:ascii="Arial" w:hAnsi="Arial" w:cs="Arial"/>
              </w:rPr>
              <w:t xml:space="preserve"> con </w:t>
            </w:r>
            <w:proofErr w:type="spellStart"/>
            <w:r w:rsidRPr="00F5611F">
              <w:rPr>
                <w:rFonts w:ascii="Arial" w:hAnsi="Arial" w:cs="Arial"/>
              </w:rPr>
              <w:t>tarjeta</w:t>
            </w:r>
            <w:proofErr w:type="spellEnd"/>
          </w:p>
        </w:tc>
        <w:tc>
          <w:tcPr>
            <w:tcW w:w="3120" w:type="dxa"/>
          </w:tcPr>
          <w:p w14:paraId="0D633DB9" w14:textId="77777777" w:rsidR="00EB77EF" w:rsidRPr="00F5611F" w:rsidRDefault="00000000" w:rsidP="00F5611F">
            <w:pPr>
              <w:spacing w:line="360" w:lineRule="auto"/>
              <w:jc w:val="both"/>
              <w:rPr>
                <w:rFonts w:ascii="Arial" w:hAnsi="Arial" w:cs="Arial"/>
              </w:rPr>
            </w:pPr>
            <w:r w:rsidRPr="00F5611F">
              <w:rPr>
                <w:rFonts w:ascii="Arial" w:hAnsi="Arial" w:cs="Arial"/>
              </w:rPr>
              <w:t>54.3% (</w:t>
            </w:r>
            <w:proofErr w:type="spellStart"/>
            <w:r w:rsidRPr="00F5611F">
              <w:rPr>
                <w:rFonts w:ascii="Arial" w:hAnsi="Arial" w:cs="Arial"/>
              </w:rPr>
              <w:t>efectivo</w:t>
            </w:r>
            <w:proofErr w:type="spellEnd"/>
            <w:r w:rsidRPr="00F5611F">
              <w:rPr>
                <w:rFonts w:ascii="Arial" w:hAnsi="Arial" w:cs="Arial"/>
              </w:rPr>
              <w:t>: 79.8%)</w:t>
            </w:r>
          </w:p>
        </w:tc>
        <w:tc>
          <w:tcPr>
            <w:tcW w:w="3120" w:type="dxa"/>
          </w:tcPr>
          <w:p w14:paraId="3343A904"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17DB79E1" w14:textId="77777777">
        <w:tc>
          <w:tcPr>
            <w:tcW w:w="3120" w:type="dxa"/>
          </w:tcPr>
          <w:p w14:paraId="36EEFE11"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Usan </w:t>
            </w:r>
            <w:proofErr w:type="spellStart"/>
            <w:r w:rsidRPr="00F5611F">
              <w:rPr>
                <w:rFonts w:ascii="Arial" w:hAnsi="Arial" w:cs="Arial"/>
              </w:rPr>
              <w:t>alguna</w:t>
            </w:r>
            <w:proofErr w:type="spellEnd"/>
            <w:r w:rsidRPr="00F5611F">
              <w:rPr>
                <w:rFonts w:ascii="Arial" w:hAnsi="Arial" w:cs="Arial"/>
              </w:rPr>
              <w:t xml:space="preserve"> </w:t>
            </w:r>
            <w:proofErr w:type="spellStart"/>
            <w:r w:rsidRPr="00F5611F">
              <w:rPr>
                <w:rFonts w:ascii="Arial" w:hAnsi="Arial" w:cs="Arial"/>
              </w:rPr>
              <w:t>tecnología</w:t>
            </w:r>
            <w:proofErr w:type="spellEnd"/>
            <w:r w:rsidRPr="00F5611F">
              <w:rPr>
                <w:rFonts w:ascii="Arial" w:hAnsi="Arial" w:cs="Arial"/>
              </w:rPr>
              <w:t xml:space="preserve"> </w:t>
            </w:r>
            <w:proofErr w:type="spellStart"/>
            <w:r w:rsidRPr="00F5611F">
              <w:rPr>
                <w:rFonts w:ascii="Arial" w:hAnsi="Arial" w:cs="Arial"/>
              </w:rPr>
              <w:t>financiera</w:t>
            </w:r>
            <w:proofErr w:type="spellEnd"/>
          </w:p>
        </w:tc>
        <w:tc>
          <w:tcPr>
            <w:tcW w:w="3120" w:type="dxa"/>
          </w:tcPr>
          <w:p w14:paraId="0995B456" w14:textId="77777777" w:rsidR="00EB77EF" w:rsidRPr="00F5611F" w:rsidRDefault="00000000" w:rsidP="00F5611F">
            <w:pPr>
              <w:spacing w:line="360" w:lineRule="auto"/>
              <w:jc w:val="both"/>
              <w:rPr>
                <w:rFonts w:ascii="Arial" w:hAnsi="Arial" w:cs="Arial"/>
              </w:rPr>
            </w:pPr>
            <w:r w:rsidRPr="00F5611F">
              <w:rPr>
                <w:rFonts w:ascii="Arial" w:hAnsi="Arial" w:cs="Arial"/>
              </w:rPr>
              <w:t>40.1%</w:t>
            </w:r>
          </w:p>
        </w:tc>
        <w:tc>
          <w:tcPr>
            <w:tcW w:w="3120" w:type="dxa"/>
          </w:tcPr>
          <w:p w14:paraId="4F33F8C5" w14:textId="77777777" w:rsidR="00EB77EF" w:rsidRPr="00F5611F" w:rsidRDefault="00000000" w:rsidP="00F5611F">
            <w:pPr>
              <w:spacing w:line="360" w:lineRule="auto"/>
              <w:jc w:val="both"/>
              <w:rPr>
                <w:rFonts w:ascii="Arial" w:hAnsi="Arial" w:cs="Arial"/>
              </w:rPr>
            </w:pPr>
            <w:r w:rsidRPr="00F5611F">
              <w:rPr>
                <w:rFonts w:ascii="Arial" w:hAnsi="Arial" w:cs="Arial"/>
              </w:rPr>
              <w:t>Idem</w:t>
            </w:r>
          </w:p>
        </w:tc>
      </w:tr>
      <w:tr w:rsidR="00EB77EF" w:rsidRPr="00F5611F" w14:paraId="234765DC" w14:textId="77777777">
        <w:tc>
          <w:tcPr>
            <w:tcW w:w="3120" w:type="dxa"/>
          </w:tcPr>
          <w:p w14:paraId="59DF7E2F"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Principal limitante: tasas de interés</w:t>
            </w:r>
          </w:p>
        </w:tc>
        <w:tc>
          <w:tcPr>
            <w:tcW w:w="3120" w:type="dxa"/>
          </w:tcPr>
          <w:p w14:paraId="6DF8BBEB"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62% de </w:t>
            </w:r>
            <w:proofErr w:type="spellStart"/>
            <w:r w:rsidRPr="00F5611F">
              <w:rPr>
                <w:rFonts w:ascii="Arial" w:hAnsi="Arial" w:cs="Arial"/>
              </w:rPr>
              <w:t>menciones</w:t>
            </w:r>
            <w:proofErr w:type="spellEnd"/>
          </w:p>
        </w:tc>
        <w:tc>
          <w:tcPr>
            <w:tcW w:w="3120" w:type="dxa"/>
          </w:tcPr>
          <w:p w14:paraId="7A4E2752" w14:textId="77777777" w:rsidR="00EB77EF" w:rsidRPr="00F5611F" w:rsidRDefault="00000000" w:rsidP="00F5611F">
            <w:pPr>
              <w:spacing w:line="360" w:lineRule="auto"/>
              <w:jc w:val="both"/>
              <w:rPr>
                <w:rFonts w:ascii="Arial" w:hAnsi="Arial" w:cs="Arial"/>
              </w:rPr>
            </w:pPr>
            <w:r w:rsidRPr="00F5611F">
              <w:rPr>
                <w:rFonts w:ascii="Arial" w:hAnsi="Arial" w:cs="Arial"/>
              </w:rPr>
              <w:t>ENAFIN 2021 (</w:t>
            </w:r>
            <w:proofErr w:type="spellStart"/>
            <w:r w:rsidR="00EB77EF">
              <w:fldChar w:fldCharType="begin"/>
            </w:r>
            <w:r w:rsidR="00EB77EF">
              <w:instrText>HYPERLINK "https://www.excelsior.com.mx/nacional/mitad-de-las-empresas-no-solicita-credito-revela-encuestas-de-inegi-y-cnbv/1536235"</w:instrText>
            </w:r>
            <w:r w:rsidR="00EB77EF">
              <w:fldChar w:fldCharType="separate"/>
            </w:r>
            <w:r w:rsidR="00EB77EF" w:rsidRPr="00F5611F">
              <w:rPr>
                <w:rStyle w:val="Hipervnculo"/>
                <w:rFonts w:ascii="Arial" w:hAnsi="Arial" w:cs="Arial"/>
              </w:rPr>
              <w:t>Excélsior</w:t>
            </w:r>
            <w:proofErr w:type="spellEnd"/>
            <w:r w:rsidR="00EB77EF">
              <w:fldChar w:fldCharType="end"/>
            </w:r>
            <w:r w:rsidRPr="00F5611F">
              <w:rPr>
                <w:rFonts w:ascii="Arial" w:hAnsi="Arial" w:cs="Arial"/>
              </w:rPr>
              <w:t>)</w:t>
            </w:r>
          </w:p>
        </w:tc>
      </w:tr>
      <w:tr w:rsidR="00EB77EF" w:rsidRPr="00F5611F" w14:paraId="64DF63BB" w14:textId="77777777">
        <w:tc>
          <w:tcPr>
            <w:tcW w:w="3120" w:type="dxa"/>
          </w:tcPr>
          <w:p w14:paraId="051B6026"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Adultos</w:t>
            </w:r>
            <w:proofErr w:type="spellEnd"/>
            <w:r w:rsidRPr="00F5611F">
              <w:rPr>
                <w:rFonts w:ascii="Arial" w:hAnsi="Arial" w:cs="Arial"/>
              </w:rPr>
              <w:t xml:space="preserve"> con </w:t>
            </w:r>
            <w:proofErr w:type="spellStart"/>
            <w:r w:rsidRPr="00F5611F">
              <w:rPr>
                <w:rFonts w:ascii="Arial" w:hAnsi="Arial" w:cs="Arial"/>
              </w:rPr>
              <w:t>crédito</w:t>
            </w:r>
            <w:proofErr w:type="spellEnd"/>
            <w:r w:rsidRPr="00F5611F">
              <w:rPr>
                <w:rFonts w:ascii="Arial" w:hAnsi="Arial" w:cs="Arial"/>
              </w:rPr>
              <w:t xml:space="preserve"> formal</w:t>
            </w:r>
          </w:p>
        </w:tc>
        <w:tc>
          <w:tcPr>
            <w:tcW w:w="3120" w:type="dxa"/>
          </w:tcPr>
          <w:p w14:paraId="06444044" w14:textId="77777777" w:rsidR="00EB77EF" w:rsidRPr="00F5611F" w:rsidRDefault="00000000" w:rsidP="00F5611F">
            <w:pPr>
              <w:spacing w:line="360" w:lineRule="auto"/>
              <w:jc w:val="both"/>
              <w:rPr>
                <w:rFonts w:ascii="Arial" w:hAnsi="Arial" w:cs="Arial"/>
              </w:rPr>
            </w:pPr>
            <w:r w:rsidRPr="00F5611F">
              <w:rPr>
                <w:rFonts w:ascii="Arial" w:hAnsi="Arial" w:cs="Arial"/>
              </w:rPr>
              <w:t>37.3%</w:t>
            </w:r>
          </w:p>
        </w:tc>
        <w:tc>
          <w:tcPr>
            <w:tcW w:w="3120" w:type="dxa"/>
          </w:tcPr>
          <w:p w14:paraId="0362157F" w14:textId="77777777" w:rsidR="00EB77EF" w:rsidRPr="00F5611F" w:rsidRDefault="00000000" w:rsidP="00F5611F">
            <w:pPr>
              <w:spacing w:line="360" w:lineRule="auto"/>
              <w:jc w:val="both"/>
              <w:rPr>
                <w:rFonts w:ascii="Arial" w:hAnsi="Arial" w:cs="Arial"/>
              </w:rPr>
            </w:pPr>
            <w:r w:rsidRPr="00F5611F">
              <w:rPr>
                <w:rFonts w:ascii="Arial" w:hAnsi="Arial" w:cs="Arial"/>
              </w:rPr>
              <w:t>ENIF 2024 (</w:t>
            </w:r>
            <w:proofErr w:type="spellStart"/>
            <w:r w:rsidR="00EB77EF">
              <w:fldChar w:fldCharType="begin"/>
            </w:r>
            <w:r w:rsidR="00EB77EF">
              <w:instrText>HYPERLINK "https://facephi.com/observatory/en/financial-inclusion-mexico-fintech-digital-payments/"</w:instrText>
            </w:r>
            <w:r w:rsidR="00EB77EF">
              <w:fldChar w:fldCharType="separate"/>
            </w:r>
            <w:r w:rsidR="00EB77EF" w:rsidRPr="00F5611F">
              <w:rPr>
                <w:rStyle w:val="Hipervnculo"/>
                <w:rFonts w:ascii="Arial" w:hAnsi="Arial" w:cs="Arial"/>
              </w:rPr>
              <w:t>Facephi</w:t>
            </w:r>
            <w:proofErr w:type="spellEnd"/>
            <w:r w:rsidR="00EB77EF">
              <w:fldChar w:fldCharType="end"/>
            </w:r>
            <w:r w:rsidRPr="00F5611F">
              <w:rPr>
                <w:rFonts w:ascii="Arial" w:hAnsi="Arial" w:cs="Arial"/>
              </w:rPr>
              <w:t>)</w:t>
            </w:r>
          </w:p>
        </w:tc>
      </w:tr>
    </w:tbl>
    <w:p w14:paraId="6901D86B" w14:textId="77777777" w:rsidR="00EB77EF" w:rsidRPr="00F5611F" w:rsidRDefault="00000000" w:rsidP="00F5611F">
      <w:pPr>
        <w:spacing w:line="360" w:lineRule="auto"/>
        <w:jc w:val="both"/>
        <w:rPr>
          <w:rFonts w:ascii="Arial" w:hAnsi="Arial" w:cs="Arial"/>
        </w:rPr>
      </w:pPr>
      <w:r w:rsidRPr="00F5611F">
        <w:rPr>
          <w:rFonts w:ascii="Arial" w:hAnsi="Arial" w:cs="Arial"/>
          <w:noProof/>
        </w:rPr>
        <w:drawing>
          <wp:inline distT="0" distB="0" distL="0" distR="0" wp14:anchorId="2238E58D" wp14:editId="7BCB2458">
            <wp:extent cx="5486400" cy="2914650"/>
            <wp:effectExtent l="0" t="0" r="0" b="0"/>
            <wp:docPr id="1" name="image1" descr="ENAFIN 2024, INEGI-CNBV (reporte del 28 de mayo de 2025) · empresas con 6 o más personas ocupadas en localidades de 50 mil habitantes o más"/>
            <wp:cNvGraphicFramePr/>
            <a:graphic xmlns:a="http://schemas.openxmlformats.org/drawingml/2006/main">
              <a:graphicData uri="http://schemas.openxmlformats.org/drawingml/2006/picture">
                <pic:pic xmlns:pic="http://schemas.openxmlformats.org/drawingml/2006/picture">
                  <pic:nvPicPr>
                    <pic:cNvPr id="1" name="image1" descr="ENAFIN 2024, INEGI-CNBV (reporte del 28 de mayo de 2025) · empresas con 6 o más personas ocupadas en localidades de 50 mil habitantes o más"/>
                    <pic:cNvPicPr/>
                  </pic:nvPicPr>
                  <pic:blipFill>
                    <a:blip r:embed="rId6"/>
                    <a:stretch>
                      <a:fillRect/>
                    </a:stretch>
                  </pic:blipFill>
                  <pic:spPr>
                    <a:xfrm>
                      <a:off x="0" y="0"/>
                      <a:ext cx="5486400" cy="2914650"/>
                    </a:xfrm>
                    <a:prstGeom prst="rect">
                      <a:avLst/>
                    </a:prstGeom>
                  </pic:spPr>
                </pic:pic>
              </a:graphicData>
            </a:graphic>
          </wp:inline>
        </w:drawing>
      </w:r>
    </w:p>
    <w:p>
      <w:pPr>
        <w:spacing w:line="360" w:lineRule="auto"/>
        <w:jc w:val="both"/>
      </w:pPr>
      <w:r>
        <w:rPr>
          <w:rFonts w:ascii="Arial" w:hAnsi="Arial" w:cs="Arial"/>
          <w:b/>
          <w:sz w:val="18"/>
          <w:lang w:val="es-MX"/>
        </w:rPr>
        <w:t xml:space="preserve">Figura 1 · Fuente: </w:t>
      </w:r>
      <w:r>
        <w:rPr>
          <w:rFonts w:ascii="Arial" w:hAnsi="Arial" w:cs="Arial"/>
          <w:sz w:val="18"/>
          <w:lang w:val="es-MX"/>
        </w:rPr>
        <w:t xml:space="preserve">INEGI-CNBV, ENAFIN 2024 (reporte del 28 de mayo de 2025); empresas con 6 o más personas ocupadas en localidades de 50 mil habitantes o más. Datos: Excel, hoja Datos de imágenes.</w:t>
      </w:r>
    </w:p>
    <w:p w14:paraId="399D75E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Que la banca de desarrollo casi no aparezca no significa que no exista: trabaja sobre todo en segundo piso, dando garantías y fondeo a bancos y SOFOMES. El problema es que ese apoyo ha llegado a poca cartera; entre 2009 y 2015 solo 9–10% del crédito bancario a pymes lo tuvo (</w:t>
      </w:r>
      <w:r w:rsidR="00EB77EF">
        <w:fldChar w:fldCharType="begin"/>
      </w:r>
      <w:r w:rsidR="00EB77EF" w:rsidRPr="00341CD7">
        <w:rPr>
          <w:lang w:val="es-MX"/>
        </w:rPr>
        <w:instrText>HYPERLINK "https://www.redalyc.org/journal/413/41365966006/41365966006.pdf"</w:instrText>
      </w:r>
      <w:r w:rsidR="00EB77EF">
        <w:fldChar w:fldCharType="separate"/>
      </w:r>
      <w:r w:rsidR="00EB77EF" w:rsidRPr="00F5611F">
        <w:rPr>
          <w:rStyle w:val="Hipervnculo"/>
          <w:rFonts w:ascii="Arial" w:hAnsi="Arial" w:cs="Arial"/>
          <w:lang w:val="es-MX"/>
        </w:rPr>
        <w:t>Tregear, 2020</w:t>
      </w:r>
      <w:r w:rsidR="00EB77EF">
        <w:fldChar w:fldCharType="end"/>
      </w:r>
      <w:r w:rsidRPr="00F5611F">
        <w:rPr>
          <w:rFonts w:ascii="Arial" w:hAnsi="Arial" w:cs="Arial"/>
          <w:lang w:val="es-MX"/>
        </w:rPr>
        <w:t>). Conviene retener este dato, porque Plan México descansa justamente en Nafin y Bancomext.</w:t>
      </w:r>
    </w:p>
    <w:p w14:paraId="68C201ED"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Detrás de las cifras hay dos historias. La primera es de costo y requisitos: las tasas, las garantías y la falta de historial pesan más que la distancia a una sucursal, y aun así la demanda ha crecido; </w:t>
      </w:r>
      <w:r w:rsidRPr="00F5611F">
        <w:rPr>
          <w:rFonts w:ascii="Arial" w:hAnsi="Arial" w:cs="Arial"/>
          <w:lang w:val="es-MX"/>
        </w:rPr>
        <w:lastRenderedPageBreak/>
        <w:t>entre 2015 y 2021 las empresas que pidieron financiamiento pasaron de 40% a 47% (</w:t>
      </w:r>
      <w:r w:rsidR="00EB77EF">
        <w:fldChar w:fldCharType="begin"/>
      </w:r>
      <w:r w:rsidR="00EB77EF" w:rsidRPr="00341CD7">
        <w:rPr>
          <w:lang w:val="es-MX"/>
        </w:rPr>
        <w:instrText>HYPERLINK "https://expansion.mx/emprendedores/2024/02/07/obtener-un-credito-para-emprender"</w:instrText>
      </w:r>
      <w:r w:rsidR="00EB77EF">
        <w:fldChar w:fldCharType="separate"/>
      </w:r>
      <w:r w:rsidR="00EB77EF" w:rsidRPr="00F5611F">
        <w:rPr>
          <w:rStyle w:val="Hipervnculo"/>
          <w:rFonts w:ascii="Arial" w:hAnsi="Arial" w:cs="Arial"/>
          <w:lang w:val="es-MX"/>
        </w:rPr>
        <w:t>Expansión</w:t>
      </w:r>
      <w:r w:rsidR="00EB77EF">
        <w:fldChar w:fldCharType="end"/>
      </w:r>
      <w:r w:rsidRPr="00F5611F">
        <w:rPr>
          <w:rFonts w:ascii="Arial" w:hAnsi="Arial" w:cs="Arial"/>
          <w:lang w:val="es-MX"/>
        </w:rPr>
        <w:t>). La segunda es de medición: la ENAFIN solo cubre empresas con seis o más trabajadores en ciudades de más de 50 mil habitantes, así que la situación real de la microempresa es peor de lo que muestra (</w:t>
      </w:r>
      <w:r w:rsidR="00EB77EF">
        <w:fldChar w:fldCharType="begin"/>
      </w:r>
      <w:r w:rsidR="00EB77EF" w:rsidRPr="00341CD7">
        <w:rPr>
          <w:lang w:val="es-MX"/>
        </w:rPr>
        <w:instrText>HYPERLINK "https://expansion.mx/opinion/2022/09/22/mejorar-la-inclusion-financiera-de-empresas"</w:instrText>
      </w:r>
      <w:r w:rsidR="00EB77EF">
        <w:fldChar w:fldCharType="separate"/>
      </w:r>
      <w:r w:rsidR="00EB77EF" w:rsidRPr="00F5611F">
        <w:rPr>
          <w:rStyle w:val="Hipervnculo"/>
          <w:rFonts w:ascii="Arial" w:hAnsi="Arial" w:cs="Arial"/>
          <w:lang w:val="es-MX"/>
        </w:rPr>
        <w:t>Expansión</w:t>
      </w:r>
      <w:r w:rsidR="00EB77EF">
        <w:fldChar w:fldCharType="end"/>
      </w:r>
      <w:r w:rsidRPr="00F5611F">
        <w:rPr>
          <w:rFonts w:ascii="Arial" w:hAnsi="Arial" w:cs="Arial"/>
          <w:lang w:val="es-MX"/>
        </w:rPr>
        <w:t>). Con datos de 2018, solo 14.6% de las microempresas tenía financiamiento (</w:t>
      </w:r>
      <w:r w:rsidR="00EB77EF">
        <w:fldChar w:fldCharType="begin"/>
      </w:r>
      <w:r w:rsidR="00EB77EF" w:rsidRPr="00341CD7">
        <w:rPr>
          <w:lang w:val="es-MX"/>
        </w:rPr>
        <w:instrText>HYPERLINK "https://revistahitos.ujat.mx/index.php/hitos/article/download/5725/4237"</w:instrText>
      </w:r>
      <w:r w:rsidR="00EB77EF">
        <w:fldChar w:fldCharType="separate"/>
      </w:r>
      <w:r w:rsidR="00EB77EF" w:rsidRPr="00F5611F">
        <w:rPr>
          <w:rStyle w:val="Hipervnculo"/>
          <w:rFonts w:ascii="Arial" w:hAnsi="Arial" w:cs="Arial"/>
          <w:lang w:val="es-MX"/>
        </w:rPr>
        <w:t>Revista Hitos, UJAT</w:t>
      </w:r>
      <w:r w:rsidR="00EB77EF">
        <w:fldChar w:fldCharType="end"/>
      </w:r>
      <w:r w:rsidRPr="00F5611F">
        <w:rPr>
          <w:rFonts w:ascii="Arial" w:hAnsi="Arial" w:cs="Arial"/>
          <w:lang w:val="es-MX"/>
        </w:rPr>
        <w:t>).</w:t>
      </w:r>
    </w:p>
    <w:p>
      <w:pPr>
        <w:pStyle w:val="Ttulo2"/>
        <w:keepNext/>
        <w:spacing w:line="360" w:lineRule="auto"/>
        <w:jc w:val="both"/>
      </w:pPr>
      <w:r>
        <w:rPr>
          <w:rFonts w:ascii="Arial" w:hAnsi="Arial" w:cs="Arial"/>
          <w:sz w:val="22"/>
          <w:lang w:val="es-MX"/>
        </w:rPr>
        <w:t xml:space="preserve">2.1 Lo que muestra la encuesta de Banxico, 2020-2026</w:t>
      </w:r>
    </w:p>
    <w:p>
      <w:pPr>
        <w:spacing w:line="360" w:lineRule="auto"/>
        <w:jc w:val="both"/>
      </w:pPr>
      <w:r>
        <w:rPr>
          <w:rFonts w:ascii="Arial" w:hAnsi="Arial" w:cs="Arial"/>
          <w:lang w:val="es-MX"/>
        </w:rPr>
        <w:t xml:space="preserve">La ENAFIN es una foto cada tres años. Para seguir el movimiento trimestre a trimestre se usa la Encuesta de Evaluación Coyuntural del Mercado Crediticio de Banxico, que pregunta a unas 650 empresas de más de 10 empleados si usaron crédito bancario. Sus cifras son porcentajes de empresas en el trimestre, no montos, y no son acumuladas: el IV trimestre mide solo octubre-diciembre, así que el dato anual es el promedio de los trimestres. El análisis completo está en el informe </w:t>
      </w:r>
      <w:r>
        <w:rPr>
          <w:rFonts w:ascii="Arial" w:hAnsi="Arial" w:cs="Arial"/>
          <w:i/>
          <w:lang w:val="es-MX"/>
        </w:rPr>
        <w:t xml:space="preserve">Financiamiento a las empresas en México 2020-2026</w:t>
      </w:r>
      <w:r>
        <w:rPr>
          <w:rFonts w:ascii="Arial" w:hAnsi="Arial" w:cs="Arial"/>
          <w:lang w:val="es-MX"/>
        </w:rPr>
        <w:t xml:space="preserve"> y en el Excel adjunto.</w:t>
      </w:r>
    </w:p>
    <w:p>
      <w:pPr>
        <w:keepNext/>
        <w:spacing w:line="360" w:lineRule="auto"/>
        <w:jc w:val="both"/>
      </w:pPr>
      <w:r>
        <w:rPr>
          <w:rFonts w:ascii="Arial" w:hAnsi="Arial" w:cs="Arial"/>
          <w:b/>
          <w:lang w:val="es-MX"/>
        </w:rPr>
        <w:t xml:space="preserve">Hipótesis 2020-2026. </w:t>
      </w:r>
      <w:r>
        <w:rPr>
          <w:rFonts w:ascii="Arial" w:hAnsi="Arial" w:cs="Arial"/>
          <w:lang w:val="es-MX"/>
        </w:rPr>
        <w:t xml:space="preserve">Estas hipótesis conectan la encuesta con los hilos de la literatura de la sección 3.</w:t>
      </w:r>
    </w:p>
    <w:tbl>
      <w:tblPr>
        <w:tblStyle w:val="Tablaconcuadrcula"/>
        <w:tblW w:w="9360" w:type="dxa"/>
        <w:tblLayout w:type="fixed"/>
        <w:tblLook w:val="0420" w:firstRow="1" w:lastRow="0" w:firstColumn="0" w:lastColumn="0" w:noHBand="0" w:noVBand="1"/>
      </w:tblPr>
      <w:tblGrid>
        <w:gridCol w:w="4800"/>
        <w:gridCol w:w="4560"/>
      </w:tblGrid>
      <w:tr>
        <w:trPr>
          <w:tblHeader/>
        </w:trPr>
        <w:tc>
          <w:tcPr>
            <w:tcW w:type="dxa" w:w="4800"/>
            <w:shd w:val="clear" w:color="auto" w:fill="F2F2F2"/>
          </w:tcPr>
          <w:p>
            <w:pPr>
              <w:keepNext/>
              <w:spacing w:line="276" w:lineRule="auto"/>
            </w:pPr>
            <w:r>
              <w:rPr>
                <w:rFonts w:ascii="Arial" w:hAnsi="Arial" w:cs="Arial"/>
                <w:lang w:val="es-MX"/>
              </w:rPr>
              <w:t xml:space="preserve">Hipótesis</w:t>
            </w:r>
          </w:p>
        </w:tc>
        <w:tc>
          <w:tcPr>
            <w:tcW w:type="dxa" w:w="4560"/>
            <w:shd w:val="clear" w:color="auto" w:fill="F2F2F2"/>
          </w:tcPr>
          <w:p>
            <w:pPr>
              <w:keepNext/>
              <w:spacing w:line="276" w:lineRule="auto"/>
            </w:pPr>
            <w:r>
              <w:rPr>
                <w:rFonts w:ascii="Arial" w:hAnsi="Arial" w:cs="Arial"/>
                <w:lang w:val="es-MX"/>
              </w:rPr>
              <w:t xml:space="preserve">Resultado preliminar</w:t>
            </w:r>
          </w:p>
        </w:tc>
      </w:tr>
      <w:tr>
        <w:tc>
          <w:tcPr>
            <w:tcW w:type="dxa" w:w="4800"/>
          </w:tcPr>
          <w:p>
            <w:pPr>
              <w:keepNext/>
              <w:spacing w:line="276" w:lineRule="auto"/>
            </w:pPr>
            <w:r>
              <w:rPr>
                <w:rFonts w:ascii="Arial" w:hAnsi="Arial" w:cs="Arial"/>
                <w:lang w:val="es-MX"/>
              </w:rPr>
              <w:t xml:space="preserve">H1. El flujo de crédito bancario nuevo a empresas cae entre 2020 y 2026, mientras el saldo se mantiene.</w:t>
            </w:r>
          </w:p>
        </w:tc>
        <w:tc>
          <w:tcPr>
            <w:tcW w:type="dxa" w:w="4560"/>
          </w:tcPr>
          <w:p>
            <w:pPr>
              <w:keepNext/>
              <w:spacing w:line="276" w:lineRule="auto"/>
            </w:pPr>
            <w:r>
              <w:rPr>
                <w:rFonts w:ascii="Arial" w:hAnsi="Arial" w:cs="Arial"/>
                <w:lang w:val="es-MX"/>
              </w:rPr>
              <w:t xml:space="preserve">Se sostiene desde 2023: 15.4% (2023) a 12.2% (2026); con crédito, alrededor de 37%.</w:t>
            </w:r>
          </w:p>
        </w:tc>
      </w:tr>
      <w:tr>
        <w:tc>
          <w:tcPr>
            <w:tcW w:type="dxa" w:w="4800"/>
          </w:tcPr>
          <w:p>
            <w:pPr>
              <w:keepNext/>
              <w:spacing w:line="276" w:lineRule="auto"/>
            </w:pPr>
            <w:r>
              <w:rPr>
                <w:rFonts w:ascii="Arial" w:hAnsi="Arial" w:cs="Arial"/>
                <w:lang w:val="es-MX"/>
              </w:rPr>
              <w:t xml:space="preserve">H2. La caída se concentra en las empresas de 11 a 100 empleados y la brecha con las grandes se abre.</w:t>
            </w:r>
          </w:p>
        </w:tc>
        <w:tc>
          <w:tcPr>
            <w:tcW w:type="dxa" w:w="4560"/>
          </w:tcPr>
          <w:p>
            <w:pPr>
              <w:keepNext/>
              <w:spacing w:line="276" w:lineRule="auto"/>
            </w:pPr>
            <w:r>
              <w:rPr>
                <w:rFonts w:ascii="Arial" w:hAnsi="Arial" w:cs="Arial"/>
                <w:lang w:val="es-MX"/>
              </w:rPr>
              <w:t xml:space="preserve">Se sostiene: la brecha de crédito vigente pasa de 6.8 pp (2023) a 12.4 pp (2026).</w:t>
            </w:r>
          </w:p>
        </w:tc>
      </w:tr>
      <w:tr>
        <w:tc>
          <w:tcPr>
            <w:tcW w:type="dxa" w:w="4800"/>
          </w:tcPr>
          <w:p>
            <w:pPr>
              <w:keepNext/>
              <w:spacing w:line="276" w:lineRule="auto"/>
            </w:pPr>
            <w:r>
              <w:rPr>
                <w:rFonts w:ascii="Arial" w:hAnsi="Arial" w:cs="Arial"/>
                <w:lang w:val="es-MX"/>
              </w:rPr>
              <w:t xml:space="preserve">H3. Los recortes de Banxico no se tradujeron en más crédito ni en menor costo percibido.</w:t>
            </w:r>
          </w:p>
        </w:tc>
        <w:tc>
          <w:tcPr>
            <w:tcW w:type="dxa" w:w="4560"/>
          </w:tcPr>
          <w:p>
            <w:pPr>
              <w:keepNext/>
              <w:spacing w:line="276" w:lineRule="auto"/>
            </w:pPr>
            <w:r>
              <w:rPr>
                <w:rFonts w:ascii="Arial" w:hAnsi="Arial" w:cs="Arial"/>
                <w:lang w:val="es-MX"/>
              </w:rPr>
              <w:t xml:space="preserve">Se sostiene en parte: la TIIE a 28 días bajó de 11.40% (2023) a 6.97% (2026) y el crédito nuevo no subió.</w:t>
            </w:r>
          </w:p>
        </w:tc>
      </w:tr>
      <w:tr>
        <w:tc>
          <w:tcPr>
            <w:tcW w:type="dxa" w:w="4800"/>
          </w:tcPr>
          <w:p>
            <w:pPr>
              <w:keepNext/>
              <w:spacing w:line="276" w:lineRule="auto"/>
            </w:pPr>
            <w:r>
              <w:rPr>
                <w:rFonts w:ascii="Arial" w:hAnsi="Arial" w:cs="Arial"/>
                <w:lang w:val="es-MX"/>
              </w:rPr>
              <w:t xml:space="preserve">H4. En 2026 la banca endureció la oferta y el rechazo pega más a las pymes.</w:t>
            </w:r>
          </w:p>
        </w:tc>
        <w:tc>
          <w:tcPr>
            <w:tcW w:type="dxa" w:w="4560"/>
          </w:tcPr>
          <w:p>
            <w:pPr>
              <w:keepNext/>
              <w:spacing w:line="276" w:lineRule="auto"/>
            </w:pPr>
            <w:r>
              <w:rPr>
                <w:rFonts w:ascii="Arial" w:hAnsi="Arial" w:cs="Arial"/>
                <w:lang w:val="es-MX"/>
              </w:rPr>
              <w:t xml:space="preserve">Se sostiene: en II-2026 se rechazó 28.3% de las solicitudes de pymes y 3.1% de las de grandes.</w:t>
            </w:r>
          </w:p>
        </w:tc>
      </w:tr>
      <w:tr>
        <w:tc>
          <w:tcPr>
            <w:tcW w:type="dxa" w:w="4800"/>
          </w:tcPr>
          <w:p>
            <w:pPr>
              <w:keepNext/>
              <w:spacing w:line="276" w:lineRule="auto"/>
            </w:pPr>
            <w:r>
              <w:rPr>
                <w:rFonts w:ascii="Arial" w:hAnsi="Arial" w:cs="Arial"/>
                <w:lang w:val="es-MX"/>
              </w:rPr>
              <w:t xml:space="preserve">H5. La restricción principal es de demanda (ventas), no de acceso.</w:t>
            </w:r>
          </w:p>
        </w:tc>
        <w:tc>
          <w:tcPr>
            <w:tcW w:type="dxa" w:w="4560"/>
          </w:tcPr>
          <w:p>
            <w:pPr>
              <w:keepNext/>
              <w:spacing w:line="276" w:lineRule="auto"/>
            </w:pPr>
            <w:r>
              <w:rPr>
                <w:rFonts w:ascii="Arial" w:hAnsi="Arial" w:cs="Arial"/>
                <w:lang w:val="es-MX"/>
              </w:rPr>
              <w:t xml:space="preserve">Se sostiene: ventas 44.6% vs acceso 1.2% como problema principal (II-2026).</w:t>
            </w:r>
          </w:p>
        </w:tc>
      </w:tr>
      <w:tr>
        <w:tc>
          <w:tcPr>
            <w:tcW w:type="dxa" w:w="4800"/>
          </w:tcPr>
          <w:p>
            <w:pPr>
              <w:spacing w:line="276" w:lineRule="auto"/>
            </w:pPr>
            <w:r>
              <w:rPr>
                <w:rFonts w:ascii="Arial" w:hAnsi="Arial" w:cs="Arial"/>
                <w:lang w:val="es-MX"/>
              </w:rPr>
              <w:t xml:space="preserve">H6. Las empresas ligadas al comercio exterior usan más el crédito bancario.</w:t>
            </w:r>
          </w:p>
        </w:tc>
        <w:tc>
          <w:tcPr>
            <w:tcW w:type="dxa" w:w="4560"/>
          </w:tcPr>
          <w:p>
            <w:pPr>
              <w:spacing w:line="276" w:lineRule="auto"/>
            </w:pPr>
            <w:r>
              <w:rPr>
                <w:rFonts w:ascii="Arial" w:hAnsi="Arial" w:cs="Arial"/>
                <w:lang w:val="es-MX"/>
              </w:rPr>
              <w:t xml:space="preserve">Parcial: Banxico no separa exportadoras; el crédito usado para comercio exterior es mínimo (0.9% de las grandes y 0.0% de las pymes con crédito nuevo en II-2026).</w:t>
            </w:r>
          </w:p>
        </w:tc>
      </w:tr>
    </w:tbl>
    <w:p>
      <w:pPr>
        <w:spacing w:before="160" w:line="360" w:lineRule="auto"/>
        <w:jc w:val="both"/>
      </w:pPr>
      <w:r>
        <w:rPr>
          <w:rFonts w:ascii="Arial" w:hAnsi="Arial" w:cs="Arial"/>
          <w:lang w:val="es-MX"/>
        </w:rPr>
        <w:t xml:space="preserve">El crédito nuevo cayó con la pandemia (de 14.8% en I-2020 a 10.6% en II-2020), se recuperó en 2022-2023 y desde 2023 vuelve a bajar a razón de 1.0 punto por año. La encuesta del III-2026 se publica el 19 de noviembre de 2026.</w:t>
      </w:r>
    </w:p>
    <w:p>
      <w:pPr>
        <w:keepNext/>
        <w:spacing w:line="360" w:lineRule="auto"/>
        <w:jc w:val="center"/>
      </w:pPr>
      <w:r>
        <w:drawing>
          <wp:inline xmlns:a="http://schemas.openxmlformats.org/drawingml/2006/main" xmlns:pic="http://schemas.openxmlformats.org/drawingml/2006/picture">
            <wp:extent cx="5486400" cy="2852928"/>
            <wp:docPr id="2" name="Picture 2" descr="Crédito bancario nuevo 2020-2026 y tendencia"/>
            <wp:cNvGraphicFramePr>
              <a:graphicFrameLocks noChangeAspect="1"/>
            </wp:cNvGraphicFramePr>
            <a:graphic>
              <a:graphicData uri="http://schemas.openxmlformats.org/drawingml/2006/picture">
                <pic:pic>
                  <pic:nvPicPr>
                    <pic:cNvPr id="0" name="g1_nuevo_credito_tendencia.png" descr="Crédito bancario nuevo 2020-2026 y tendencia"/>
                    <pic:cNvPicPr/>
                  </pic:nvPicPr>
                  <pic:blipFill>
                    <a:blip r:embed="rId47"/>
                    <a:stretch>
                      <a:fillRect/>
                    </a:stretch>
                  </pic:blipFill>
                  <pic:spPr>
                    <a:xfrm>
                      <a:off x="0" y="0"/>
                      <a:ext cx="5486400" cy="2852928"/>
                    </a:xfrm>
                    <a:prstGeom prst="rect"/>
                  </pic:spPr>
                </pic:pic>
              </a:graphicData>
            </a:graphic>
          </wp:inline>
        </w:drawing>
      </w:r>
    </w:p>
    <w:p>
      <w:pPr>
        <w:spacing w:line="360" w:lineRule="auto"/>
        <w:jc w:val="both"/>
      </w:pPr>
      <w:r>
        <w:rPr>
          <w:rFonts w:ascii="Arial" w:hAnsi="Arial" w:cs="Arial"/>
          <w:b/>
          <w:sz w:val="18"/>
          <w:lang w:val="es-MX"/>
        </w:rPr>
        <w:t xml:space="preserve">Figura 2 · Fuente: </w:t>
      </w:r>
      <w:r>
        <w:rPr>
          <w:rFonts w:ascii="Arial" w:hAnsi="Arial" w:cs="Arial"/>
          <w:sz w:val="18"/>
          <w:lang w:val="es-MX"/>
        </w:rPr>
        <w:t xml:space="preserve">Banxico, SIE (Encuesta de Evaluación Coyuntural del Mercado Crediticio, diseño vigente, I-2020 a II-2026) y comunicados de la muestra anterior (referencia). Datos: Excel, hoja Serie completa 2020-2026.</w:t>
      </w:r>
    </w:p>
    <w:p>
      <w:pPr>
        <w:spacing w:line="360" w:lineRule="auto"/>
        <w:jc w:val="both"/>
      </w:pPr>
      <w:r>
        <w:rPr>
          <w:rFonts w:ascii="Arial" w:hAnsi="Arial" w:cs="Arial"/>
          <w:lang w:val="es-MX"/>
        </w:rPr>
        <w:t xml:space="preserve">La caída no es pareja. Las empresas de más de 100 empleados mantienen su acceso; las de 11 a 100 (pequeñas y parte de las medianas, según el corte de Banxico) son las que se retiran, y la brecha entre ambas sube cada año desde 2023.</w:t>
      </w:r>
    </w:p>
    <w:p>
      <w:pPr>
        <w:keepNext/>
        <w:spacing w:line="360" w:lineRule="auto"/>
        <w:jc w:val="center"/>
      </w:pPr>
      <w:r>
        <w:drawing>
          <wp:inline xmlns:a="http://schemas.openxmlformats.org/drawingml/2006/main" xmlns:pic="http://schemas.openxmlformats.org/drawingml/2006/picture">
            <wp:extent cx="5486400" cy="2779776"/>
            <wp:docPr id="3" name="Picture 3" descr="Pymes vs grandes con tendencia"/>
            <wp:cNvGraphicFramePr>
              <a:graphicFrameLocks noChangeAspect="1"/>
            </wp:cNvGraphicFramePr>
            <a:graphic>
              <a:graphicData uri="http://schemas.openxmlformats.org/drawingml/2006/picture">
                <pic:pic>
                  <pic:nvPicPr>
                    <pic:cNvPr id="0" name="g3_tamano_tendencia.png" descr="Pymes vs grandes con tendencia"/>
                    <pic:cNvPicPr/>
                  </pic:nvPicPr>
                  <pic:blipFill>
                    <a:blip r:embed="rId48"/>
                    <a:stretch>
                      <a:fillRect/>
                    </a:stretch>
                  </pic:blipFill>
                  <pic:spPr>
                    <a:xfrm>
                      <a:off x="0" y="0"/>
                      <a:ext cx="5486400" cy="2779776"/>
                    </a:xfrm>
                    <a:prstGeom prst="rect"/>
                  </pic:spPr>
                </pic:pic>
              </a:graphicData>
            </a:graphic>
          </wp:inline>
        </w:drawing>
      </w:r>
    </w:p>
    <w:p>
      <w:pPr>
        <w:spacing w:line="360" w:lineRule="auto"/>
        <w:jc w:val="both"/>
      </w:pPr>
      <w:r>
        <w:rPr>
          <w:rFonts w:ascii="Arial" w:hAnsi="Arial" w:cs="Arial"/>
          <w:b/>
          <w:sz w:val="18"/>
          <w:lang w:val="es-MX"/>
        </w:rPr>
        <w:t xml:space="preserve">Figura 3 · Fuente: </w:t>
      </w:r>
      <w:r>
        <w:rPr>
          <w:rFonts w:ascii="Arial" w:hAnsi="Arial" w:cs="Arial"/>
          <w:sz w:val="18"/>
          <w:lang w:val="es-MX"/>
        </w:rPr>
        <w:t xml:space="preserve">Banxico, SIE y comunicados de la encuesta, diseño vigente I-2020 a II-2026. Datos: Excel, hojas Series y Por tamaño.</w:t>
      </w:r>
    </w:p>
    <w:p>
      <w:pPr>
        <w:keepNext/>
        <w:spacing w:line="360" w:lineRule="auto"/>
        <w:jc w:val="both"/>
      </w:pPr>
      <w:r>
        <w:rPr>
          <w:rFonts w:ascii="Arial" w:hAnsi="Arial" w:cs="Arial"/>
          <w:b/>
          <w:lang w:val="es-MX"/>
        </w:rPr>
        <w:t xml:space="preserve">Cuadro. Gran empresa y pequeñas y medianas por año </w:t>
      </w:r>
      <w:r>
        <w:rPr>
          <w:rFonts w:ascii="Arial" w:hAnsi="Arial" w:cs="Arial"/>
          <w:lang w:val="es-MX"/>
        </w:rPr>
        <w:t xml:space="preserve">(promedio de los trimestres, % de empresas)</w:t>
      </w:r>
    </w:p>
    <w:tbl>
      <w:tblPr>
        <w:tblStyle w:val="Tablaconcuadrcula"/>
        <w:tblW w:w="9360" w:type="dxa"/>
        <w:tblLayout w:type="fixed"/>
        <w:tblLook w:val="0420" w:firstRow="1" w:lastRow="0" w:firstColumn="0" w:lastColumn="0" w:noHBand="0" w:noVBand="1"/>
      </w:tblPr>
      <w:tblGrid>
        <w:gridCol w:w="1460"/>
        <w:gridCol w:w="1580"/>
        <w:gridCol w:w="1580"/>
        <w:gridCol w:w="1160"/>
        <w:gridCol w:w="1790"/>
        <w:gridCol w:w="1790"/>
      </w:tblGrid>
      <w:tr>
        <w:trPr>
          <w:tblHeader/>
        </w:trPr>
        <w:tc>
          <w:tcPr>
            <w:tcW w:type="dxa" w:w="1460"/>
            <w:shd w:val="clear" w:color="auto" w:fill="F2F2F2"/>
          </w:tcPr>
          <w:p>
            <w:pPr>
              <w:keepNext/>
              <w:spacing w:line="276" w:lineRule="auto"/>
            </w:pPr>
            <w:r>
              <w:rPr>
                <w:rFonts w:ascii="Arial" w:hAnsi="Arial" w:cs="Arial"/>
                <w:lang w:val="es-MX"/>
              </w:rPr>
              <w:t xml:space="preserve">Año</w:t>
            </w:r>
          </w:p>
        </w:tc>
        <w:tc>
          <w:tcPr>
            <w:tcW w:type="dxa" w:w="1580"/>
            <w:shd w:val="clear" w:color="auto" w:fill="F2F2F2"/>
          </w:tcPr>
          <w:p>
            <w:pPr>
              <w:keepNext/>
              <w:spacing w:line="276" w:lineRule="auto"/>
            </w:pPr>
            <w:r>
              <w:rPr>
                <w:rFonts w:ascii="Arial" w:hAnsi="Arial" w:cs="Arial"/>
                <w:lang w:val="es-MX"/>
              </w:rPr>
              <w:t xml:space="preserve">Con crédito: grandes</w:t>
            </w:r>
          </w:p>
        </w:tc>
        <w:tc>
          <w:tcPr>
            <w:tcW w:type="dxa" w:w="1580"/>
            <w:shd w:val="clear" w:color="auto" w:fill="F2F2F2"/>
          </w:tcPr>
          <w:p>
            <w:pPr>
              <w:keepNext/>
              <w:spacing w:line="276" w:lineRule="auto"/>
            </w:pPr>
            <w:r>
              <w:rPr>
                <w:rFonts w:ascii="Arial" w:hAnsi="Arial" w:cs="Arial"/>
                <w:lang w:val="es-MX"/>
              </w:rPr>
              <w:t xml:space="preserve">Con crédito: pymes</w:t>
            </w:r>
          </w:p>
        </w:tc>
        <w:tc>
          <w:tcPr>
            <w:tcW w:type="dxa" w:w="1160"/>
            <w:shd w:val="clear" w:color="auto" w:fill="F2F2F2"/>
          </w:tcPr>
          <w:p>
            <w:pPr>
              <w:keepNext/>
              <w:spacing w:line="276" w:lineRule="auto"/>
            </w:pPr>
            <w:r>
              <w:rPr>
                <w:rFonts w:ascii="Arial" w:hAnsi="Arial" w:cs="Arial"/>
                <w:lang w:val="es-MX"/>
              </w:rPr>
              <w:t xml:space="preserve">Brecha (pp)</w:t>
            </w:r>
          </w:p>
        </w:tc>
        <w:tc>
          <w:tcPr>
            <w:tcW w:type="dxa" w:w="1790"/>
            <w:shd w:val="clear" w:color="auto" w:fill="F2F2F2"/>
          </w:tcPr>
          <w:p>
            <w:pPr>
              <w:keepNext/>
              <w:spacing w:line="276" w:lineRule="auto"/>
            </w:pPr>
            <w:r>
              <w:rPr>
                <w:rFonts w:ascii="Arial" w:hAnsi="Arial" w:cs="Arial"/>
                <w:lang w:val="es-MX"/>
              </w:rPr>
              <w:t xml:space="preserve">Crédito nuevo: grandes</w:t>
            </w:r>
          </w:p>
        </w:tc>
        <w:tc>
          <w:tcPr>
            <w:tcW w:type="dxa" w:w="1790"/>
            <w:shd w:val="clear" w:color="auto" w:fill="F2F2F2"/>
          </w:tcPr>
          <w:p>
            <w:pPr>
              <w:keepNext/>
              <w:spacing w:line="276" w:lineRule="auto"/>
            </w:pPr>
            <w:r>
              <w:rPr>
                <w:rFonts w:ascii="Arial" w:hAnsi="Arial" w:cs="Arial"/>
                <w:lang w:val="es-MX"/>
              </w:rPr>
              <w:t xml:space="preserve">Crédito nuevo: pymes</w:t>
            </w:r>
          </w:p>
        </w:tc>
      </w:tr>
      <w:tr>
        <w:tc>
          <w:tcPr>
            <w:tcW w:type="dxa" w:w="1460"/>
          </w:tcPr>
          <w:p>
            <w:pPr>
              <w:keepNext/>
              <w:spacing w:line="276" w:lineRule="auto"/>
            </w:pPr>
            <w:r>
              <w:rPr>
                <w:rFonts w:ascii="Arial" w:hAnsi="Arial" w:cs="Arial"/>
                <w:lang w:val="es-MX"/>
              </w:rPr>
              <w:t xml:space="preserve">2020</w:t>
            </w:r>
          </w:p>
        </w:tc>
        <w:tc>
          <w:tcPr>
            <w:tcW w:type="dxa" w:w="1580"/>
          </w:tcPr>
          <w:p>
            <w:pPr>
              <w:keepNext/>
              <w:spacing w:line="276" w:lineRule="auto"/>
            </w:pPr>
            <w:r>
              <w:rPr>
                <w:rFonts w:ascii="Arial" w:hAnsi="Arial" w:cs="Arial"/>
                <w:lang w:val="es-MX"/>
              </w:rPr>
              <w:t xml:space="preserve">52.9</w:t>
            </w:r>
          </w:p>
        </w:tc>
        <w:tc>
          <w:tcPr>
            <w:tcW w:type="dxa" w:w="1580"/>
          </w:tcPr>
          <w:p>
            <w:pPr>
              <w:keepNext/>
              <w:spacing w:line="276" w:lineRule="auto"/>
            </w:pPr>
            <w:r>
              <w:rPr>
                <w:rFonts w:ascii="Arial" w:hAnsi="Arial" w:cs="Arial"/>
                <w:lang w:val="es-MX"/>
              </w:rPr>
              <w:t xml:space="preserve">36.4</w:t>
            </w:r>
          </w:p>
        </w:tc>
        <w:tc>
          <w:tcPr>
            <w:tcW w:type="dxa" w:w="1160"/>
          </w:tcPr>
          <w:p>
            <w:pPr>
              <w:keepNext/>
              <w:spacing w:line="276" w:lineRule="auto"/>
            </w:pPr>
            <w:r>
              <w:rPr>
                <w:rFonts w:ascii="Arial" w:hAnsi="Arial" w:cs="Arial"/>
                <w:lang w:val="es-MX"/>
              </w:rPr>
              <w:t xml:space="preserve">16.5</w:t>
            </w:r>
          </w:p>
        </w:tc>
        <w:tc>
          <w:tcPr>
            <w:tcW w:type="dxa" w:w="1790"/>
          </w:tcPr>
          <w:p>
            <w:pPr>
              <w:keepNext/>
              <w:spacing w:line="276" w:lineRule="auto"/>
            </w:pPr>
            <w:r>
              <w:rPr>
                <w:rFonts w:ascii="Arial" w:hAnsi="Arial" w:cs="Arial"/>
                <w:lang w:val="es-MX"/>
              </w:rPr>
              <w:t xml:space="preserve">27.3</w:t>
            </w:r>
          </w:p>
        </w:tc>
        <w:tc>
          <w:tcPr>
            <w:tcW w:type="dxa" w:w="1790"/>
          </w:tcPr>
          <w:p>
            <w:pPr>
              <w:keepNext/>
              <w:spacing w:line="276" w:lineRule="auto"/>
            </w:pPr>
            <w:r>
              <w:rPr>
                <w:rFonts w:ascii="Arial" w:hAnsi="Arial" w:cs="Arial"/>
                <w:lang w:val="es-MX"/>
              </w:rPr>
              <w:t xml:space="preserve">11.1</w:t>
            </w:r>
          </w:p>
        </w:tc>
      </w:tr>
      <w:tr>
        <w:tc>
          <w:tcPr>
            <w:tcW w:type="dxa" w:w="1460"/>
          </w:tcPr>
          <w:p>
            <w:pPr>
              <w:keepNext/>
              <w:spacing w:line="276" w:lineRule="auto"/>
            </w:pPr>
            <w:r>
              <w:rPr>
                <w:rFonts w:ascii="Arial" w:hAnsi="Arial" w:cs="Arial"/>
                <w:lang w:val="es-MX"/>
              </w:rPr>
              <w:t xml:space="preserve">2021</w:t>
            </w:r>
          </w:p>
        </w:tc>
        <w:tc>
          <w:tcPr>
            <w:tcW w:type="dxa" w:w="1580"/>
          </w:tcPr>
          <w:p>
            <w:pPr>
              <w:keepNext/>
              <w:spacing w:line="276" w:lineRule="auto"/>
            </w:pPr>
            <w:r>
              <w:rPr>
                <w:rFonts w:ascii="Arial" w:hAnsi="Arial" w:cs="Arial"/>
                <w:lang w:val="es-MX"/>
              </w:rPr>
              <w:t xml:space="preserve">51.8</w:t>
            </w:r>
          </w:p>
        </w:tc>
        <w:tc>
          <w:tcPr>
            <w:tcW w:type="dxa" w:w="1580"/>
          </w:tcPr>
          <w:p>
            <w:pPr>
              <w:keepNext/>
              <w:spacing w:line="276" w:lineRule="auto"/>
            </w:pPr>
            <w:r>
              <w:rPr>
                <w:rFonts w:ascii="Arial" w:hAnsi="Arial" w:cs="Arial"/>
                <w:lang w:val="es-MX"/>
              </w:rPr>
              <w:t xml:space="preserve">35.9</w:t>
            </w:r>
          </w:p>
        </w:tc>
        <w:tc>
          <w:tcPr>
            <w:tcW w:type="dxa" w:w="1160"/>
          </w:tcPr>
          <w:p>
            <w:pPr>
              <w:keepNext/>
              <w:spacing w:line="276" w:lineRule="auto"/>
            </w:pPr>
            <w:r>
              <w:rPr>
                <w:rFonts w:ascii="Arial" w:hAnsi="Arial" w:cs="Arial"/>
                <w:lang w:val="es-MX"/>
              </w:rPr>
              <w:t xml:space="preserve">15.9</w:t>
            </w:r>
          </w:p>
        </w:tc>
        <w:tc>
          <w:tcPr>
            <w:tcW w:type="dxa" w:w="1790"/>
          </w:tcPr>
          <w:p>
            <w:pPr>
              <w:keepNext/>
              <w:spacing w:line="276" w:lineRule="auto"/>
            </w:pPr>
            <w:r>
              <w:rPr>
                <w:rFonts w:ascii="Arial" w:hAnsi="Arial" w:cs="Arial"/>
                <w:lang w:val="es-MX"/>
              </w:rPr>
              <w:t xml:space="preserve">23.7</w:t>
            </w:r>
          </w:p>
        </w:tc>
        <w:tc>
          <w:tcPr>
            <w:tcW w:type="dxa" w:w="1790"/>
          </w:tcPr>
          <w:p>
            <w:pPr>
              <w:keepNext/>
              <w:spacing w:line="276" w:lineRule="auto"/>
            </w:pPr>
            <w:r>
              <w:rPr>
                <w:rFonts w:ascii="Arial" w:hAnsi="Arial" w:cs="Arial"/>
                <w:lang w:val="es-MX"/>
              </w:rPr>
              <w:t xml:space="preserve">10.3</w:t>
            </w:r>
          </w:p>
        </w:tc>
      </w:tr>
      <w:tr>
        <w:tc>
          <w:tcPr>
            <w:tcW w:type="dxa" w:w="1460"/>
          </w:tcPr>
          <w:p>
            <w:pPr>
              <w:keepNext/>
              <w:spacing w:line="276" w:lineRule="auto"/>
            </w:pPr>
            <w:r>
              <w:rPr>
                <w:rFonts w:ascii="Arial" w:hAnsi="Arial" w:cs="Arial"/>
                <w:lang w:val="es-MX"/>
              </w:rPr>
              <w:t xml:space="preserve">2022</w:t>
            </w:r>
          </w:p>
        </w:tc>
        <w:tc>
          <w:tcPr>
            <w:tcW w:type="dxa" w:w="1580"/>
          </w:tcPr>
          <w:p>
            <w:pPr>
              <w:keepNext/>
              <w:spacing w:line="276" w:lineRule="auto"/>
            </w:pPr>
            <w:r>
              <w:rPr>
                <w:rFonts w:ascii="Arial" w:hAnsi="Arial" w:cs="Arial"/>
                <w:lang w:val="es-MX"/>
              </w:rPr>
              <w:t xml:space="preserve">45.9</w:t>
            </w:r>
          </w:p>
        </w:tc>
        <w:tc>
          <w:tcPr>
            <w:tcW w:type="dxa" w:w="1580"/>
          </w:tcPr>
          <w:p>
            <w:pPr>
              <w:keepNext/>
              <w:spacing w:line="276" w:lineRule="auto"/>
            </w:pPr>
            <w:r>
              <w:rPr>
                <w:rFonts w:ascii="Arial" w:hAnsi="Arial" w:cs="Arial"/>
                <w:lang w:val="es-MX"/>
              </w:rPr>
              <w:t xml:space="preserve">38.4</w:t>
            </w:r>
          </w:p>
        </w:tc>
        <w:tc>
          <w:tcPr>
            <w:tcW w:type="dxa" w:w="1160"/>
          </w:tcPr>
          <w:p>
            <w:pPr>
              <w:keepNext/>
              <w:spacing w:line="276" w:lineRule="auto"/>
            </w:pPr>
            <w:r>
              <w:rPr>
                <w:rFonts w:ascii="Arial" w:hAnsi="Arial" w:cs="Arial"/>
                <w:lang w:val="es-MX"/>
              </w:rPr>
              <w:t xml:space="preserve">7.5</w:t>
            </w:r>
          </w:p>
        </w:tc>
        <w:tc>
          <w:tcPr>
            <w:tcW w:type="dxa" w:w="1790"/>
          </w:tcPr>
          <w:p>
            <w:pPr>
              <w:keepNext/>
              <w:spacing w:line="276" w:lineRule="auto"/>
            </w:pPr>
            <w:r>
              <w:rPr>
                <w:rFonts w:ascii="Arial" w:hAnsi="Arial" w:cs="Arial"/>
                <w:lang w:val="es-MX"/>
              </w:rPr>
              <w:t xml:space="preserve">23.0</w:t>
            </w:r>
          </w:p>
        </w:tc>
        <w:tc>
          <w:tcPr>
            <w:tcW w:type="dxa" w:w="1790"/>
          </w:tcPr>
          <w:p>
            <w:pPr>
              <w:keepNext/>
              <w:spacing w:line="276" w:lineRule="auto"/>
            </w:pPr>
            <w:r>
              <w:rPr>
                <w:rFonts w:ascii="Arial" w:hAnsi="Arial" w:cs="Arial"/>
                <w:lang w:val="es-MX"/>
              </w:rPr>
              <w:t xml:space="preserve">13.9</w:t>
            </w:r>
          </w:p>
        </w:tc>
      </w:tr>
      <w:tr>
        <w:tc>
          <w:tcPr>
            <w:tcW w:type="dxa" w:w="1460"/>
          </w:tcPr>
          <w:p>
            <w:pPr>
              <w:keepNext/>
              <w:spacing w:line="276" w:lineRule="auto"/>
            </w:pPr>
            <w:r>
              <w:rPr>
                <w:rFonts w:ascii="Arial" w:hAnsi="Arial" w:cs="Arial"/>
                <w:lang w:val="es-MX"/>
              </w:rPr>
              <w:t xml:space="preserve">2023</w:t>
            </w:r>
          </w:p>
        </w:tc>
        <w:tc>
          <w:tcPr>
            <w:tcW w:type="dxa" w:w="1580"/>
          </w:tcPr>
          <w:p>
            <w:pPr>
              <w:keepNext/>
              <w:spacing w:line="276" w:lineRule="auto"/>
            </w:pPr>
            <w:r>
              <w:rPr>
                <w:rFonts w:ascii="Arial" w:hAnsi="Arial" w:cs="Arial"/>
                <w:lang w:val="es-MX"/>
              </w:rPr>
              <w:t xml:space="preserve">43.7</w:t>
            </w:r>
          </w:p>
        </w:tc>
        <w:tc>
          <w:tcPr>
            <w:tcW w:type="dxa" w:w="1580"/>
          </w:tcPr>
          <w:p>
            <w:pPr>
              <w:keepNext/>
              <w:spacing w:line="276" w:lineRule="auto"/>
            </w:pPr>
            <w:r>
              <w:rPr>
                <w:rFonts w:ascii="Arial" w:hAnsi="Arial" w:cs="Arial"/>
                <w:lang w:val="es-MX"/>
              </w:rPr>
              <w:t xml:space="preserve">37.0</w:t>
            </w:r>
          </w:p>
        </w:tc>
        <w:tc>
          <w:tcPr>
            <w:tcW w:type="dxa" w:w="1160"/>
          </w:tcPr>
          <w:p>
            <w:pPr>
              <w:keepNext/>
              <w:spacing w:line="276" w:lineRule="auto"/>
            </w:pPr>
            <w:r>
              <w:rPr>
                <w:rFonts w:ascii="Arial" w:hAnsi="Arial" w:cs="Arial"/>
                <w:lang w:val="es-MX"/>
              </w:rPr>
              <w:t xml:space="preserve">6.8</w:t>
            </w:r>
          </w:p>
        </w:tc>
        <w:tc>
          <w:tcPr>
            <w:tcW w:type="dxa" w:w="1790"/>
          </w:tcPr>
          <w:p>
            <w:pPr>
              <w:keepNext/>
              <w:spacing w:line="276" w:lineRule="auto"/>
            </w:pPr>
            <w:r>
              <w:rPr>
                <w:rFonts w:ascii="Arial" w:hAnsi="Arial" w:cs="Arial"/>
                <w:lang w:val="es-MX"/>
              </w:rPr>
              <w:t xml:space="preserve">20.0</w:t>
            </w:r>
          </w:p>
        </w:tc>
        <w:tc>
          <w:tcPr>
            <w:tcW w:type="dxa" w:w="1790"/>
          </w:tcPr>
          <w:p>
            <w:pPr>
              <w:keepNext/>
              <w:spacing w:line="276" w:lineRule="auto"/>
            </w:pPr>
            <w:r>
              <w:rPr>
                <w:rFonts w:ascii="Arial" w:hAnsi="Arial" w:cs="Arial"/>
                <w:lang w:val="es-MX"/>
              </w:rPr>
              <w:t xml:space="preserve">14.9</w:t>
            </w:r>
          </w:p>
        </w:tc>
      </w:tr>
      <w:tr>
        <w:tc>
          <w:tcPr>
            <w:tcW w:type="dxa" w:w="1460"/>
          </w:tcPr>
          <w:p>
            <w:pPr>
              <w:keepNext/>
              <w:spacing w:line="276" w:lineRule="auto"/>
            </w:pPr>
            <w:r>
              <w:rPr>
                <w:rFonts w:ascii="Arial" w:hAnsi="Arial" w:cs="Arial"/>
                <w:lang w:val="es-MX"/>
              </w:rPr>
              <w:t xml:space="preserve">2024</w:t>
            </w:r>
          </w:p>
        </w:tc>
        <w:tc>
          <w:tcPr>
            <w:tcW w:type="dxa" w:w="1580"/>
          </w:tcPr>
          <w:p>
            <w:pPr>
              <w:keepNext/>
              <w:spacing w:line="276" w:lineRule="auto"/>
            </w:pPr>
            <w:r>
              <w:rPr>
                <w:rFonts w:ascii="Arial" w:hAnsi="Arial" w:cs="Arial"/>
                <w:lang w:val="es-MX"/>
              </w:rPr>
              <w:t xml:space="preserve">47.1</w:t>
            </w:r>
          </w:p>
        </w:tc>
        <w:tc>
          <w:tcPr>
            <w:tcW w:type="dxa" w:w="1580"/>
          </w:tcPr>
          <w:p>
            <w:pPr>
              <w:keepNext/>
              <w:spacing w:line="276" w:lineRule="auto"/>
            </w:pPr>
            <w:r>
              <w:rPr>
                <w:rFonts w:ascii="Arial" w:hAnsi="Arial" w:cs="Arial"/>
                <w:lang w:val="es-MX"/>
              </w:rPr>
              <w:t xml:space="preserve">37.9</w:t>
            </w:r>
          </w:p>
        </w:tc>
        <w:tc>
          <w:tcPr>
            <w:tcW w:type="dxa" w:w="1160"/>
          </w:tcPr>
          <w:p>
            <w:pPr>
              <w:keepNext/>
              <w:spacing w:line="276" w:lineRule="auto"/>
            </w:pPr>
            <w:r>
              <w:rPr>
                <w:rFonts w:ascii="Arial" w:hAnsi="Arial" w:cs="Arial"/>
                <w:lang w:val="es-MX"/>
              </w:rPr>
              <w:t xml:space="preserve">9.2</w:t>
            </w:r>
          </w:p>
        </w:tc>
        <w:tc>
          <w:tcPr>
            <w:tcW w:type="dxa" w:w="1790"/>
          </w:tcPr>
          <w:p>
            <w:pPr>
              <w:keepNext/>
              <w:spacing w:line="276" w:lineRule="auto"/>
            </w:pPr>
            <w:r>
              <w:rPr>
                <w:rFonts w:ascii="Arial" w:hAnsi="Arial" w:cs="Arial"/>
                <w:lang w:val="es-MX"/>
              </w:rPr>
              <w:t xml:space="preserve">21.3</w:t>
            </w:r>
          </w:p>
        </w:tc>
        <w:tc>
          <w:tcPr>
            <w:tcW w:type="dxa" w:w="1790"/>
          </w:tcPr>
          <w:p>
            <w:pPr>
              <w:keepNext/>
              <w:spacing w:line="276" w:lineRule="auto"/>
            </w:pPr>
            <w:r>
              <w:rPr>
                <w:rFonts w:ascii="Arial" w:hAnsi="Arial" w:cs="Arial"/>
                <w:lang w:val="es-MX"/>
              </w:rPr>
              <w:t xml:space="preserve">12.8</w:t>
            </w:r>
          </w:p>
        </w:tc>
      </w:tr>
      <w:tr>
        <w:tc>
          <w:tcPr>
            <w:tcW w:type="dxa" w:w="1460"/>
          </w:tcPr>
          <w:p>
            <w:pPr>
              <w:keepNext/>
              <w:spacing w:line="276" w:lineRule="auto"/>
            </w:pPr>
            <w:r>
              <w:rPr>
                <w:rFonts w:ascii="Arial" w:hAnsi="Arial" w:cs="Arial"/>
                <w:lang w:val="es-MX"/>
              </w:rPr>
              <w:t xml:space="preserve">2025</w:t>
            </w:r>
          </w:p>
        </w:tc>
        <w:tc>
          <w:tcPr>
            <w:tcW w:type="dxa" w:w="1580"/>
          </w:tcPr>
          <w:p>
            <w:pPr>
              <w:keepNext/>
              <w:spacing w:line="276" w:lineRule="auto"/>
            </w:pPr>
            <w:r>
              <w:rPr>
                <w:rFonts w:ascii="Arial" w:hAnsi="Arial" w:cs="Arial"/>
                <w:lang w:val="es-MX"/>
              </w:rPr>
              <w:t xml:space="preserve">46.4</w:t>
            </w:r>
          </w:p>
        </w:tc>
        <w:tc>
          <w:tcPr>
            <w:tcW w:type="dxa" w:w="1580"/>
          </w:tcPr>
          <w:p>
            <w:pPr>
              <w:keepNext/>
              <w:spacing w:line="276" w:lineRule="auto"/>
            </w:pPr>
            <w:r>
              <w:rPr>
                <w:rFonts w:ascii="Arial" w:hAnsi="Arial" w:cs="Arial"/>
                <w:lang w:val="es-MX"/>
              </w:rPr>
              <w:t xml:space="preserve">36.1</w:t>
            </w:r>
          </w:p>
        </w:tc>
        <w:tc>
          <w:tcPr>
            <w:tcW w:type="dxa" w:w="1160"/>
          </w:tcPr>
          <w:p>
            <w:pPr>
              <w:keepNext/>
              <w:spacing w:line="276" w:lineRule="auto"/>
            </w:pPr>
            <w:r>
              <w:rPr>
                <w:rFonts w:ascii="Arial" w:hAnsi="Arial" w:cs="Arial"/>
                <w:lang w:val="es-MX"/>
              </w:rPr>
              <w:t xml:space="preserve">10.2</w:t>
            </w:r>
          </w:p>
        </w:tc>
        <w:tc>
          <w:tcPr>
            <w:tcW w:type="dxa" w:w="1790"/>
          </w:tcPr>
          <w:p>
            <w:pPr>
              <w:keepNext/>
              <w:spacing w:line="276" w:lineRule="auto"/>
            </w:pPr>
            <w:r>
              <w:rPr>
                <w:rFonts w:ascii="Arial" w:hAnsi="Arial" w:cs="Arial"/>
                <w:lang w:val="es-MX"/>
              </w:rPr>
              <w:t xml:space="preserve">22.4</w:t>
            </w:r>
          </w:p>
        </w:tc>
        <w:tc>
          <w:tcPr>
            <w:tcW w:type="dxa" w:w="1790"/>
          </w:tcPr>
          <w:p>
            <w:pPr>
              <w:keepNext/>
              <w:spacing w:line="276" w:lineRule="auto"/>
            </w:pPr>
            <w:r>
              <w:rPr>
                <w:rFonts w:ascii="Arial" w:hAnsi="Arial" w:cs="Arial"/>
                <w:lang w:val="es-MX"/>
              </w:rPr>
              <w:t xml:space="preserve">13.5</w:t>
            </w:r>
          </w:p>
        </w:tc>
      </w:tr>
      <w:tr>
        <w:tc>
          <w:tcPr>
            <w:tcW w:type="dxa" w:w="1460"/>
          </w:tcPr>
          <w:p>
            <w:pPr>
              <w:spacing w:line="276" w:lineRule="auto"/>
            </w:pPr>
            <w:r>
              <w:rPr>
                <w:rFonts w:ascii="Arial" w:hAnsi="Arial" w:cs="Arial"/>
                <w:lang w:val="es-MX"/>
              </w:rPr>
              <w:t xml:space="preserve">2026 (I-II)</w:t>
            </w:r>
          </w:p>
        </w:tc>
        <w:tc>
          <w:tcPr>
            <w:tcW w:type="dxa" w:w="1580"/>
          </w:tcPr>
          <w:p>
            <w:pPr>
              <w:spacing w:line="276" w:lineRule="auto"/>
            </w:pPr>
            <w:r>
              <w:rPr>
                <w:rFonts w:ascii="Arial" w:hAnsi="Arial" w:cs="Arial"/>
                <w:lang w:val="es-MX"/>
              </w:rPr>
              <w:t xml:space="preserve">48.1</w:t>
            </w:r>
          </w:p>
        </w:tc>
        <w:tc>
          <w:tcPr>
            <w:tcW w:type="dxa" w:w="1580"/>
          </w:tcPr>
          <w:p>
            <w:pPr>
              <w:spacing w:line="276" w:lineRule="auto"/>
            </w:pPr>
            <w:r>
              <w:rPr>
                <w:rFonts w:ascii="Arial" w:hAnsi="Arial" w:cs="Arial"/>
                <w:lang w:val="es-MX"/>
              </w:rPr>
              <w:t xml:space="preserve">35.8</w:t>
            </w:r>
          </w:p>
        </w:tc>
        <w:tc>
          <w:tcPr>
            <w:tcW w:type="dxa" w:w="1160"/>
          </w:tcPr>
          <w:p>
            <w:pPr>
              <w:spacing w:line="276" w:lineRule="auto"/>
            </w:pPr>
            <w:r>
              <w:rPr>
                <w:rFonts w:ascii="Arial" w:hAnsi="Arial" w:cs="Arial"/>
                <w:lang w:val="es-MX"/>
              </w:rPr>
              <w:t xml:space="preserve">12.4</w:t>
            </w:r>
          </w:p>
        </w:tc>
        <w:tc>
          <w:tcPr>
            <w:tcW w:type="dxa" w:w="1790"/>
          </w:tcPr>
          <w:p>
            <w:pPr>
              <w:spacing w:line="276" w:lineRule="auto"/>
            </w:pPr>
            <w:r>
              <w:rPr>
                <w:rFonts w:ascii="Arial" w:hAnsi="Arial" w:cs="Arial"/>
                <w:lang w:val="es-MX"/>
              </w:rPr>
              <w:t xml:space="preserve">21.0</w:t>
            </w:r>
          </w:p>
        </w:tc>
        <w:tc>
          <w:tcPr>
            <w:tcW w:type="dxa" w:w="1790"/>
          </w:tcPr>
          <w:p>
            <w:pPr>
              <w:spacing w:line="276" w:lineRule="auto"/>
            </w:pPr>
            <w:r>
              <w:rPr>
                <w:rFonts w:ascii="Arial" w:hAnsi="Arial" w:cs="Arial"/>
                <w:lang w:val="es-MX"/>
              </w:rPr>
              <w:t xml:space="preserve">11.0</w:t>
            </w:r>
          </w:p>
        </w:tc>
      </w:tr>
    </w:tbl>
    <w:p>
      <w:pPr>
        <w:spacing w:before="160" w:line="360" w:lineRule="auto"/>
        <w:jc w:val="both"/>
      </w:pPr>
      <w:r>
        <w:rPr>
          <w:rFonts w:ascii="Arial" w:hAnsi="Arial" w:cs="Arial"/>
          <w:b/>
          <w:lang w:val="es-MX"/>
        </w:rPr>
        <w:t xml:space="preserve">Rechazo y costo. </w:t>
      </w:r>
      <w:r>
        <w:rPr>
          <w:rFonts w:ascii="Arial" w:hAnsi="Arial" w:cs="Arial"/>
          <w:lang w:val="es-MX"/>
        </w:rPr>
        <w:t xml:space="preserve">En 2026 la tasa de rechazo subió a 23.4% (6.4% en 2025) y el índice de costo de las tasas bajó a 39.4 en II-2026 (abajo de 50 significa crédito más caro). El aumento del rechazo es de las pymes: comparando el II trimestre de cada año, a ellas se les rechazó 28.3% de las solicitudes en 2026, contra 4.7% en 2025; a las grandes, 3.1%. También perciben el crédito más caro (35.3 contra 53.7 de las grandes).</w:t>
      </w:r>
    </w:p>
    <w:p>
      <w:pPr>
        <w:keepNext/>
        <w:spacing w:line="360" w:lineRule="auto"/>
        <w:jc w:val="center"/>
      </w:pPr>
      <w:r>
        <w:drawing>
          <wp:inline xmlns:a="http://schemas.openxmlformats.org/drawingml/2006/main" xmlns:pic="http://schemas.openxmlformats.org/drawingml/2006/picture">
            <wp:extent cx="5486400" cy="2560320"/>
            <wp:docPr id="4" name="Picture 4" descr="Tasa de rechazo por tamaño en el II trimestre"/>
            <wp:cNvGraphicFramePr>
              <a:graphicFrameLocks noChangeAspect="1"/>
            </wp:cNvGraphicFramePr>
            <a:graphic>
              <a:graphicData uri="http://schemas.openxmlformats.org/drawingml/2006/picture">
                <pic:pic>
                  <pic:nvPicPr>
                    <pic:cNvPr id="0" name="g6_rechazo_tamano.png" descr="Tasa de rechazo por tamaño en el II trimestre"/>
                    <pic:cNvPicPr/>
                  </pic:nvPicPr>
                  <pic:blipFill>
                    <a:blip r:embed="rId49"/>
                    <a:stretch>
                      <a:fillRect/>
                    </a:stretch>
                  </pic:blipFill>
                  <pic:spPr>
                    <a:xfrm>
                      <a:off x="0" y="0"/>
                      <a:ext cx="5486400" cy="2560320"/>
                    </a:xfrm>
                    <a:prstGeom prst="rect"/>
                  </pic:spPr>
                </pic:pic>
              </a:graphicData>
            </a:graphic>
          </wp:inline>
        </w:drawing>
      </w:r>
    </w:p>
    <w:p>
      <w:pPr>
        <w:spacing w:line="360" w:lineRule="auto"/>
        <w:jc w:val="both"/>
      </w:pPr>
      <w:r>
        <w:rPr>
          <w:rFonts w:ascii="Arial" w:hAnsi="Arial" w:cs="Arial"/>
          <w:b/>
          <w:sz w:val="18"/>
          <w:lang w:val="es-MX"/>
        </w:rPr>
        <w:t xml:space="preserve">Figura 4 · Fuente: </w:t>
      </w:r>
      <w:r>
        <w:rPr>
          <w:rFonts w:ascii="Arial" w:hAnsi="Arial" w:cs="Arial"/>
          <w:sz w:val="18"/>
          <w:lang w:val="es-MX"/>
        </w:rPr>
        <w:t xml:space="preserve">Banxico, comunicado II-2026 (cuadro 2) y SIE (variación anual) para II-2020 a II-2025; cálculo propio. Datos: Excel, hoja Rechazo y costo.</w:t>
      </w:r>
    </w:p>
    <w:p>
      <w:pPr>
        <w:spacing w:line="360" w:lineRule="auto"/>
        <w:jc w:val="both"/>
      </w:pPr>
      <w:r>
        <w:rPr>
          <w:rFonts w:ascii="Arial" w:hAnsi="Arial" w:cs="Arial"/>
          <w:b/>
          <w:lang w:val="es-MX"/>
        </w:rPr>
        <w:t xml:space="preserve">Exportaciones. </w:t>
      </w:r>
      <w:r>
        <w:rPr>
          <w:rFonts w:ascii="Arial" w:hAnsi="Arial" w:cs="Arial"/>
          <w:lang w:val="es-MX"/>
        </w:rPr>
        <w:t xml:space="preserve">Para Plan México importa saber si las empresas ligadas al comercio exterior tienen mejor acceso al crédito. Banxico no separa exportadoras en esta encuesta; lo más cercano es el destino del crédito nuevo. En II-2026 solo 0.9% de las grandes y 0.0% de las pymes que usaron crédito nuevo lo destinaron a operaciones de comercio exterior: el componente exportador del crédito bancario es marginal.</w:t>
      </w:r>
    </w:p>
    <w:p>
      <w:pPr>
        <w:spacing w:line="360" w:lineRule="auto"/>
        <w:jc w:val="both"/>
      </w:pPr>
      <w:r>
        <w:rPr>
          <w:rFonts w:ascii="Arial" w:hAnsi="Arial" w:cs="Arial"/>
          <w:lang w:val="es-MX"/>
        </w:rPr>
        <w:t xml:space="preserve">Leídos junto con la ENAFIN, los datos de Banxico cuentan la misma historia con más detalle en el tiempo: la pyme no solo tiene menos acceso, sino que en 2026 lo está perdiendo, aunque la TIIE bajó de 11.40% a 6.97% y justo cuando Plan México le pide a la banca más crédito para ese segmento.</w:t>
      </w:r>
    </w:p>
    <w:p>
      <w:pPr>
        <w:pStyle w:val="Ttulo2"/>
        <w:keepNext/>
        <w:spacing w:line="360" w:lineRule="auto"/>
        <w:jc w:val="both"/>
      </w:pPr>
      <w:r>
        <w:rPr>
          <w:rFonts w:ascii="Arial" w:hAnsi="Arial" w:cs="Arial"/>
          <w:sz w:val="22"/>
          <w:lang w:val="es-MX"/>
        </w:rPr>
        <w:t xml:space="preserve">3. Lo que dice la investigación académica</w:t>
      </w:r>
    </w:p>
    <w:p w14:paraId="6726F240" w14:textId="43555D50" w:rsidR="00EB77EF" w:rsidRPr="00F5611F" w:rsidRDefault="00F5611F" w:rsidP="00F5611F">
      <w:pPr>
        <w:spacing w:line="360" w:lineRule="auto"/>
        <w:jc w:val="both"/>
        <w:rPr>
          <w:rFonts w:ascii="Arial" w:hAnsi="Arial" w:cs="Arial"/>
          <w:lang w:val="es-MX"/>
        </w:rPr>
      </w:pPr>
      <w:r w:rsidRPr="00F5611F">
        <w:rPr>
          <w:rFonts w:ascii="Arial" w:hAnsi="Arial" w:cs="Arial"/>
          <w:lang w:val="es-MX"/>
        </w:rPr>
        <w:t>La sección anterior muestra el tamaño del problema, la investigación académica ayuda a entender sus causas. Los estudios revisados, publicados entre 2013 y 2026, coinciden bastante: a la pyme mexicana la dejan fuera su tamaño, su juventud, la falta de historial y de garantías, y un mercado bancario concentrado. La digitalización abre caminos, pero no genera confianza por sí sola.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EB77EF" w:rsidRPr="00F5611F" w14:paraId="1B3BFA2F" w14:textId="77777777">
        <w:trPr>
          <w:tblHeader/>
        </w:trPr>
        <w:tc>
          <w:tcPr>
            <w:tcW w:w="2340" w:type="dxa"/>
            <w:shd w:val="clear" w:color="auto" w:fill="F2F2F2"/>
          </w:tcPr>
          <w:p w14:paraId="5C2864FA"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Autor(es) y </w:t>
            </w:r>
            <w:proofErr w:type="spellStart"/>
            <w:r w:rsidRPr="00F5611F">
              <w:rPr>
                <w:rFonts w:ascii="Arial" w:hAnsi="Arial" w:cs="Arial"/>
              </w:rPr>
              <w:t>año</w:t>
            </w:r>
            <w:proofErr w:type="spellEnd"/>
          </w:p>
        </w:tc>
        <w:tc>
          <w:tcPr>
            <w:tcW w:w="2340" w:type="dxa"/>
            <w:shd w:val="clear" w:color="auto" w:fill="F2F2F2"/>
          </w:tcPr>
          <w:p w14:paraId="14B6C1F6" w14:textId="77777777" w:rsidR="00EB77EF" w:rsidRPr="00F5611F" w:rsidRDefault="00000000" w:rsidP="00F5611F">
            <w:pPr>
              <w:spacing w:line="360" w:lineRule="auto"/>
              <w:jc w:val="both"/>
              <w:rPr>
                <w:rFonts w:ascii="Arial" w:hAnsi="Arial" w:cs="Arial"/>
              </w:rPr>
            </w:pPr>
            <w:r w:rsidRPr="00F5611F">
              <w:rPr>
                <w:rFonts w:ascii="Arial" w:hAnsi="Arial" w:cs="Arial"/>
              </w:rPr>
              <w:t>Revista (</w:t>
            </w:r>
            <w:proofErr w:type="spellStart"/>
            <w:r w:rsidRPr="00F5611F">
              <w:rPr>
                <w:rFonts w:ascii="Arial" w:hAnsi="Arial" w:cs="Arial"/>
              </w:rPr>
              <w:t>índice</w:t>
            </w:r>
            <w:proofErr w:type="spellEnd"/>
            <w:r w:rsidRPr="00F5611F">
              <w:rPr>
                <w:rFonts w:ascii="Arial" w:hAnsi="Arial" w:cs="Arial"/>
              </w:rPr>
              <w:t>)</w:t>
            </w:r>
          </w:p>
        </w:tc>
        <w:tc>
          <w:tcPr>
            <w:tcW w:w="2340" w:type="dxa"/>
            <w:shd w:val="clear" w:color="auto" w:fill="F2F2F2"/>
          </w:tcPr>
          <w:p w14:paraId="423BA680"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Datos y </w:t>
            </w:r>
            <w:proofErr w:type="spellStart"/>
            <w:r w:rsidRPr="00F5611F">
              <w:rPr>
                <w:rFonts w:ascii="Arial" w:hAnsi="Arial" w:cs="Arial"/>
              </w:rPr>
              <w:t>método</w:t>
            </w:r>
            <w:proofErr w:type="spellEnd"/>
          </w:p>
        </w:tc>
        <w:tc>
          <w:tcPr>
            <w:tcW w:w="2340" w:type="dxa"/>
            <w:shd w:val="clear" w:color="auto" w:fill="F2F2F2"/>
          </w:tcPr>
          <w:p w14:paraId="056F55D2"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Hallazgo</w:t>
            </w:r>
            <w:proofErr w:type="spellEnd"/>
            <w:r w:rsidRPr="00F5611F">
              <w:rPr>
                <w:rFonts w:ascii="Arial" w:hAnsi="Arial" w:cs="Arial"/>
              </w:rPr>
              <w:t xml:space="preserve"> clave</w:t>
            </w:r>
          </w:p>
        </w:tc>
      </w:tr>
      <w:tr w:rsidR="00EB77EF" w:rsidRPr="00341CD7" w14:paraId="7B7AE5A8" w14:textId="77777777">
        <w:tc>
          <w:tcPr>
            <w:tcW w:w="2340" w:type="dxa"/>
          </w:tcPr>
          <w:p w14:paraId="66F9ACF2" w14:textId="77777777" w:rsidR="00EB77EF" w:rsidRPr="00F5611F" w:rsidRDefault="00EB77EF" w:rsidP="00F5611F">
            <w:pPr>
              <w:spacing w:line="360" w:lineRule="auto"/>
              <w:jc w:val="both"/>
              <w:rPr>
                <w:rFonts w:ascii="Arial" w:hAnsi="Arial" w:cs="Arial"/>
                <w:lang w:val="es-MX"/>
              </w:rPr>
            </w:pPr>
            <w:hyperlink r:id="rId7" w:history="1">
              <w:r w:rsidRPr="00F5611F">
                <w:rPr>
                  <w:rStyle w:val="Hipervnculo"/>
                  <w:rFonts w:ascii="Arial" w:hAnsi="Arial" w:cs="Arial"/>
                  <w:lang w:val="es-MX"/>
                </w:rPr>
                <w:t>Moreda-González-Ortega, Torija-Bretón y Hernández-Sánchez (2026)</w:t>
              </w:r>
            </w:hyperlink>
          </w:p>
        </w:tc>
        <w:tc>
          <w:tcPr>
            <w:tcW w:w="2340" w:type="dxa"/>
          </w:tcPr>
          <w:p w14:paraId="136CB1E2"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VinculaTégica</w:t>
            </w:r>
            <w:proofErr w:type="spellEnd"/>
            <w:r w:rsidRPr="00F5611F">
              <w:rPr>
                <w:rFonts w:ascii="Arial" w:hAnsi="Arial" w:cs="Arial"/>
              </w:rPr>
              <w:t>, 12(1), UANL (</w:t>
            </w:r>
            <w:proofErr w:type="spellStart"/>
            <w:r w:rsidRPr="00F5611F">
              <w:rPr>
                <w:rFonts w:ascii="Arial" w:hAnsi="Arial" w:cs="Arial"/>
              </w:rPr>
              <w:t>Latindex</w:t>
            </w:r>
            <w:proofErr w:type="spellEnd"/>
            <w:r w:rsidRPr="00F5611F">
              <w:rPr>
                <w:rFonts w:ascii="Arial" w:hAnsi="Arial" w:cs="Arial"/>
              </w:rPr>
              <w:t>)</w:t>
            </w:r>
          </w:p>
        </w:tc>
        <w:tc>
          <w:tcPr>
            <w:tcW w:w="2340" w:type="dxa"/>
          </w:tcPr>
          <w:p w14:paraId="4BF0E924"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Revisión bibliométrica en Scopus con LLM y NLP</w:t>
            </w:r>
          </w:p>
        </w:tc>
        <w:tc>
          <w:tcPr>
            <w:tcW w:w="2340" w:type="dxa"/>
          </w:tcPr>
          <w:p w14:paraId="742CF333"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inclusión financiera digital y fintech dominan la agenda 2024; los métodos más usados son Probit, GMM y panel dinámico</w:t>
            </w:r>
          </w:p>
        </w:tc>
      </w:tr>
      <w:tr w:rsidR="00EB77EF" w:rsidRPr="00341CD7" w14:paraId="4250A9E8" w14:textId="77777777">
        <w:tc>
          <w:tcPr>
            <w:tcW w:w="2340" w:type="dxa"/>
          </w:tcPr>
          <w:p w14:paraId="34C96115" w14:textId="77777777" w:rsidR="00EB77EF" w:rsidRPr="00F5611F" w:rsidRDefault="00EB77EF" w:rsidP="00F5611F">
            <w:pPr>
              <w:spacing w:line="360" w:lineRule="auto"/>
              <w:jc w:val="both"/>
              <w:rPr>
                <w:rFonts w:ascii="Arial" w:hAnsi="Arial" w:cs="Arial"/>
              </w:rPr>
            </w:pPr>
            <w:hyperlink r:id="rId8" w:history="1">
              <w:r w:rsidRPr="00F5611F">
                <w:rPr>
                  <w:rStyle w:val="Hipervnculo"/>
                  <w:rFonts w:ascii="Arial" w:hAnsi="Arial" w:cs="Arial"/>
                </w:rPr>
                <w:t xml:space="preserve">REMEF (2025), </w:t>
              </w:r>
              <w:proofErr w:type="spellStart"/>
              <w:r w:rsidRPr="00F5611F">
                <w:rPr>
                  <w:rStyle w:val="Hipervnculo"/>
                  <w:rFonts w:ascii="Arial" w:hAnsi="Arial" w:cs="Arial"/>
                </w:rPr>
                <w:t>caso</w:t>
              </w:r>
              <w:proofErr w:type="spellEnd"/>
              <w:r w:rsidRPr="00F5611F">
                <w:rPr>
                  <w:rStyle w:val="Hipervnculo"/>
                  <w:rFonts w:ascii="Arial" w:hAnsi="Arial" w:cs="Arial"/>
                </w:rPr>
                <w:t xml:space="preserve"> E-</w:t>
              </w:r>
              <w:proofErr w:type="spellStart"/>
              <w:r w:rsidRPr="00F5611F">
                <w:rPr>
                  <w:rStyle w:val="Hipervnculo"/>
                  <w:rFonts w:ascii="Arial" w:hAnsi="Arial" w:cs="Arial"/>
                </w:rPr>
                <w:t>fectivo</w:t>
              </w:r>
              <w:proofErr w:type="spellEnd"/>
            </w:hyperlink>
          </w:p>
        </w:tc>
        <w:tc>
          <w:tcPr>
            <w:tcW w:w="2340" w:type="dxa"/>
          </w:tcPr>
          <w:p w14:paraId="2C9E30A1"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Revista Mexicana de Economía y Finanzas, 20(4), e1025 (Scopus)</w:t>
            </w:r>
          </w:p>
        </w:tc>
        <w:tc>
          <w:tcPr>
            <w:tcW w:w="2340" w:type="dxa"/>
          </w:tcPr>
          <w:p w14:paraId="4BBC6DB3"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Encuesta en Cuetzalan, Puebla; correlaciones con Lógica Dominante de Servicio</w:t>
            </w:r>
          </w:p>
        </w:tc>
        <w:tc>
          <w:tcPr>
            <w:tcW w:w="2340" w:type="dxa"/>
          </w:tcPr>
          <w:p w14:paraId="16C9445F"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Usar tecnología digital no garantiza confianza en pagos digitales; emprendedores rurales ven más obstáculos que ventajas</w:t>
            </w:r>
          </w:p>
        </w:tc>
      </w:tr>
      <w:tr w:rsidR="00EB77EF" w:rsidRPr="00341CD7" w14:paraId="04F637D7" w14:textId="77777777">
        <w:tc>
          <w:tcPr>
            <w:tcW w:w="2340" w:type="dxa"/>
          </w:tcPr>
          <w:p w14:paraId="2B93085E" w14:textId="77777777" w:rsidR="00EB77EF" w:rsidRPr="00F5611F" w:rsidRDefault="00EB77EF" w:rsidP="00F5611F">
            <w:pPr>
              <w:spacing w:line="360" w:lineRule="auto"/>
              <w:jc w:val="both"/>
              <w:rPr>
                <w:rFonts w:ascii="Arial" w:hAnsi="Arial" w:cs="Arial"/>
                <w:lang w:val="es-MX"/>
              </w:rPr>
            </w:pPr>
            <w:hyperlink r:id="rId9" w:history="1">
              <w:r w:rsidRPr="00F5611F">
                <w:rPr>
                  <w:rStyle w:val="Hipervnculo"/>
                  <w:rFonts w:ascii="Arial" w:hAnsi="Arial" w:cs="Arial"/>
                  <w:lang w:val="es-MX"/>
                </w:rPr>
                <w:t>Jiménez Rico, Gómez López y Zamilpa Paredes (2023)</w:t>
              </w:r>
            </w:hyperlink>
          </w:p>
        </w:tc>
        <w:tc>
          <w:tcPr>
            <w:tcW w:w="2340" w:type="dxa"/>
          </w:tcPr>
          <w:p w14:paraId="42B4C4E2" w14:textId="77777777" w:rsidR="00EB77EF" w:rsidRPr="00F5611F" w:rsidRDefault="00000000" w:rsidP="00F5611F">
            <w:pPr>
              <w:spacing w:line="360" w:lineRule="auto"/>
              <w:jc w:val="both"/>
              <w:rPr>
                <w:rFonts w:ascii="Arial" w:hAnsi="Arial" w:cs="Arial"/>
              </w:rPr>
            </w:pPr>
            <w:r w:rsidRPr="00F5611F">
              <w:rPr>
                <w:rFonts w:ascii="Arial" w:hAnsi="Arial" w:cs="Arial"/>
              </w:rPr>
              <w:t>Journal of Risk and Financial Management, 16(11), 477 (Scopus)</w:t>
            </w:r>
          </w:p>
        </w:tc>
        <w:tc>
          <w:tcPr>
            <w:tcW w:w="2340" w:type="dxa"/>
          </w:tcPr>
          <w:p w14:paraId="2BF1D79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Probit, Enterprise Survey del Banco Mundial, 1,480 empresas</w:t>
            </w:r>
          </w:p>
        </w:tc>
        <w:tc>
          <w:tcPr>
            <w:tcW w:w="2340" w:type="dxa"/>
          </w:tcPr>
          <w:p w14:paraId="77E77165"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Edad, tamaño pequeño, participación extranjera y sector manufacturero determinan el acceso; ser pequeña reduce entre 30% y 41% la probabilidad de crédito</w:t>
            </w:r>
          </w:p>
        </w:tc>
      </w:tr>
      <w:tr w:rsidR="00EB77EF" w:rsidRPr="00341CD7" w14:paraId="74110375" w14:textId="77777777">
        <w:tc>
          <w:tcPr>
            <w:tcW w:w="2340" w:type="dxa"/>
          </w:tcPr>
          <w:p w14:paraId="74C8E83A" w14:textId="77777777" w:rsidR="00EB77EF" w:rsidRPr="00F5611F" w:rsidRDefault="00EB77EF" w:rsidP="00F5611F">
            <w:pPr>
              <w:spacing w:line="360" w:lineRule="auto"/>
              <w:jc w:val="both"/>
              <w:rPr>
                <w:rFonts w:ascii="Arial" w:hAnsi="Arial" w:cs="Arial"/>
                <w:lang w:val="es-MX"/>
              </w:rPr>
            </w:pPr>
            <w:hyperlink r:id="rId10" w:history="1">
              <w:r w:rsidRPr="00F5611F">
                <w:rPr>
                  <w:rStyle w:val="Hipervnculo"/>
                  <w:rFonts w:ascii="Arial" w:hAnsi="Arial" w:cs="Arial"/>
                  <w:lang w:val="es-MX"/>
                </w:rPr>
                <w:t>Diagnóstico del financiamiento bancario a mipymes</w:t>
              </w:r>
            </w:hyperlink>
          </w:p>
        </w:tc>
        <w:tc>
          <w:tcPr>
            <w:tcW w:w="2340" w:type="dxa"/>
          </w:tcPr>
          <w:p w14:paraId="5A81F0F4"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Hitos de Ciencias Económico Administrativas, año 29, núm. 84 (UJAT)</w:t>
            </w:r>
          </w:p>
        </w:tc>
        <w:tc>
          <w:tcPr>
            <w:tcW w:w="2340" w:type="dxa"/>
          </w:tcPr>
          <w:p w14:paraId="4605B275"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Datos secundarios ENAFIN 2018 y ENAPROCE 2018</w:t>
            </w:r>
          </w:p>
        </w:tc>
        <w:tc>
          <w:tcPr>
            <w:tcW w:w="2340" w:type="dxa"/>
          </w:tcPr>
          <w:p w14:paraId="639C08F8"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Solo 14.6% de las microempresas tenía financiamiento; las tasas altas son la principal restricción</w:t>
            </w:r>
          </w:p>
        </w:tc>
      </w:tr>
      <w:tr w:rsidR="00EB77EF" w:rsidRPr="00341CD7" w14:paraId="1729F5E4" w14:textId="77777777">
        <w:tc>
          <w:tcPr>
            <w:tcW w:w="2340" w:type="dxa"/>
          </w:tcPr>
          <w:p w14:paraId="4BBE98E3" w14:textId="77777777" w:rsidR="00EB77EF" w:rsidRPr="00F5611F" w:rsidRDefault="00EB77EF" w:rsidP="00F5611F">
            <w:pPr>
              <w:spacing w:line="360" w:lineRule="auto"/>
              <w:jc w:val="both"/>
              <w:rPr>
                <w:rFonts w:ascii="Arial" w:hAnsi="Arial" w:cs="Arial"/>
              </w:rPr>
            </w:pPr>
            <w:hyperlink r:id="rId11" w:history="1">
              <w:proofErr w:type="spellStart"/>
              <w:r w:rsidRPr="00F5611F">
                <w:rPr>
                  <w:rStyle w:val="Hipervnculo"/>
                  <w:rFonts w:ascii="Arial" w:hAnsi="Arial" w:cs="Arial"/>
                </w:rPr>
                <w:t>Microempresarias</w:t>
              </w:r>
              <w:proofErr w:type="spellEnd"/>
              <w:r w:rsidRPr="00F5611F">
                <w:rPr>
                  <w:rStyle w:val="Hipervnculo"/>
                  <w:rFonts w:ascii="Arial" w:hAnsi="Arial" w:cs="Arial"/>
                </w:rPr>
                <w:t xml:space="preserve"> </w:t>
              </w:r>
              <w:proofErr w:type="spellStart"/>
              <w:r w:rsidRPr="00F5611F">
                <w:rPr>
                  <w:rStyle w:val="Hipervnculo"/>
                  <w:rFonts w:ascii="Arial" w:hAnsi="Arial" w:cs="Arial"/>
                </w:rPr>
                <w:t>mexicanas</w:t>
              </w:r>
              <w:proofErr w:type="spellEnd"/>
            </w:hyperlink>
          </w:p>
        </w:tc>
        <w:tc>
          <w:tcPr>
            <w:tcW w:w="2340" w:type="dxa"/>
          </w:tcPr>
          <w:p w14:paraId="69FC2031"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Boletín Científico de la Escuela Superior Ciudad Sahagún (UAEH)</w:t>
            </w:r>
          </w:p>
        </w:tc>
        <w:tc>
          <w:tcPr>
            <w:tcW w:w="2340" w:type="dxa"/>
          </w:tcPr>
          <w:p w14:paraId="086BEEF1"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Cuestionario</w:t>
            </w:r>
            <w:proofErr w:type="spellEnd"/>
            <w:r w:rsidRPr="00F5611F">
              <w:rPr>
                <w:rFonts w:ascii="Arial" w:hAnsi="Arial" w:cs="Arial"/>
              </w:rPr>
              <w:t xml:space="preserve"> a 10,729 </w:t>
            </w:r>
            <w:proofErr w:type="spellStart"/>
            <w:r w:rsidRPr="00F5611F">
              <w:rPr>
                <w:rFonts w:ascii="Arial" w:hAnsi="Arial" w:cs="Arial"/>
              </w:rPr>
              <w:t>microempresarias</w:t>
            </w:r>
            <w:proofErr w:type="spellEnd"/>
          </w:p>
        </w:tc>
        <w:tc>
          <w:tcPr>
            <w:tcW w:w="2340" w:type="dxa"/>
          </w:tcPr>
          <w:p w14:paraId="2FBA3FAF"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brecha de género se reduce, pero 11% no tiene una institución financiera cercana</w:t>
            </w:r>
          </w:p>
        </w:tc>
      </w:tr>
      <w:tr w:rsidR="00EB77EF" w:rsidRPr="00341CD7" w14:paraId="0B6B18CC" w14:textId="77777777">
        <w:tc>
          <w:tcPr>
            <w:tcW w:w="2340" w:type="dxa"/>
          </w:tcPr>
          <w:p w14:paraId="3FCAF316" w14:textId="77777777" w:rsidR="00EB77EF" w:rsidRPr="00F5611F" w:rsidRDefault="00EB77EF" w:rsidP="00F5611F">
            <w:pPr>
              <w:spacing w:line="360" w:lineRule="auto"/>
              <w:jc w:val="both"/>
              <w:rPr>
                <w:rFonts w:ascii="Arial" w:hAnsi="Arial" w:cs="Arial"/>
              </w:rPr>
            </w:pPr>
            <w:hyperlink r:id="rId12" w:history="1">
              <w:proofErr w:type="spellStart"/>
              <w:r w:rsidRPr="00F5611F">
                <w:rPr>
                  <w:rStyle w:val="Hipervnculo"/>
                  <w:rFonts w:ascii="Arial" w:hAnsi="Arial" w:cs="Arial"/>
                </w:rPr>
                <w:t>Tregear</w:t>
              </w:r>
              <w:proofErr w:type="spellEnd"/>
              <w:r w:rsidRPr="00F5611F">
                <w:rPr>
                  <w:rStyle w:val="Hipervnculo"/>
                  <w:rFonts w:ascii="Arial" w:hAnsi="Arial" w:cs="Arial"/>
                </w:rPr>
                <w:t xml:space="preserve"> (2020)</w:t>
              </w:r>
            </w:hyperlink>
          </w:p>
        </w:tc>
        <w:tc>
          <w:tcPr>
            <w:tcW w:w="2340" w:type="dxa"/>
          </w:tcPr>
          <w:p w14:paraId="67DC62DD"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Análisis Económico, 35(90), 117–146, </w:t>
            </w:r>
            <w:r w:rsidRPr="00F5611F">
              <w:rPr>
                <w:rFonts w:ascii="Arial" w:hAnsi="Arial" w:cs="Arial"/>
                <w:lang w:val="es-MX"/>
              </w:rPr>
              <w:lastRenderedPageBreak/>
              <w:t>UAM-Azcapotzalco (Redalyc, SciELO)</w:t>
            </w:r>
          </w:p>
        </w:tc>
        <w:tc>
          <w:tcPr>
            <w:tcW w:w="2340" w:type="dxa"/>
          </w:tcPr>
          <w:p w14:paraId="0CC9AA41"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lastRenderedPageBreak/>
              <w:t xml:space="preserve">Estadística longitudinal con </w:t>
            </w:r>
            <w:r w:rsidRPr="00F5611F">
              <w:rPr>
                <w:rFonts w:ascii="Arial" w:hAnsi="Arial" w:cs="Arial"/>
                <w:lang w:val="es-MX"/>
              </w:rPr>
              <w:lastRenderedPageBreak/>
              <w:t>Censos Económicos y CNBV, 2000–2015</w:t>
            </w:r>
          </w:p>
        </w:tc>
        <w:tc>
          <w:tcPr>
            <w:tcW w:w="2340" w:type="dxa"/>
          </w:tcPr>
          <w:p w14:paraId="2F953DA8"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lastRenderedPageBreak/>
              <w:t xml:space="preserve">Las restricciones son endógenas: tamaño y </w:t>
            </w:r>
            <w:r w:rsidRPr="00F5611F">
              <w:rPr>
                <w:rFonts w:ascii="Arial" w:hAnsi="Arial" w:cs="Arial"/>
                <w:lang w:val="es-MX"/>
              </w:rPr>
              <w:lastRenderedPageBreak/>
              <w:t>mercados oligopólicos; las pymes retienen 15% de la cartera y 90% de su crédito no tiene apoyo de fomento</w:t>
            </w:r>
          </w:p>
        </w:tc>
      </w:tr>
      <w:tr w:rsidR="00EB77EF" w:rsidRPr="00341CD7" w14:paraId="34488B45" w14:textId="77777777">
        <w:tc>
          <w:tcPr>
            <w:tcW w:w="2340" w:type="dxa"/>
          </w:tcPr>
          <w:p w14:paraId="26A2F785" w14:textId="77777777" w:rsidR="00EB77EF" w:rsidRPr="00F5611F" w:rsidRDefault="00EB77EF" w:rsidP="00F5611F">
            <w:pPr>
              <w:spacing w:line="360" w:lineRule="auto"/>
              <w:jc w:val="both"/>
              <w:rPr>
                <w:rFonts w:ascii="Arial" w:hAnsi="Arial" w:cs="Arial"/>
              </w:rPr>
            </w:pPr>
            <w:hyperlink r:id="rId13" w:history="1">
              <w:r w:rsidRPr="00F5611F">
                <w:rPr>
                  <w:rStyle w:val="Hipervnculo"/>
                  <w:rFonts w:ascii="Arial" w:hAnsi="Arial" w:cs="Arial"/>
                </w:rPr>
                <w:t>Gómez-Ramírez (2019)</w:t>
              </w:r>
            </w:hyperlink>
          </w:p>
        </w:tc>
        <w:tc>
          <w:tcPr>
            <w:tcW w:w="2340" w:type="dxa"/>
          </w:tcPr>
          <w:p w14:paraId="54FE5FA3" w14:textId="77777777" w:rsidR="00EB77EF" w:rsidRPr="00F5611F" w:rsidRDefault="00000000" w:rsidP="00F5611F">
            <w:pPr>
              <w:spacing w:line="360" w:lineRule="auto"/>
              <w:jc w:val="both"/>
              <w:rPr>
                <w:rFonts w:ascii="Arial" w:hAnsi="Arial" w:cs="Arial"/>
              </w:rPr>
            </w:pPr>
            <w:r w:rsidRPr="00F5611F">
              <w:rPr>
                <w:rFonts w:ascii="Arial" w:hAnsi="Arial" w:cs="Arial"/>
              </w:rPr>
              <w:t>REMEF, 14(3) (Scopus)</w:t>
            </w:r>
          </w:p>
        </w:tc>
        <w:tc>
          <w:tcPr>
            <w:tcW w:w="2340" w:type="dxa"/>
          </w:tcPr>
          <w:p w14:paraId="3DA7E481"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Microdatos de empresas, varias estimaciones econométricas</w:t>
            </w:r>
          </w:p>
        </w:tc>
        <w:tc>
          <w:tcPr>
            <w:tcW w:w="2340" w:type="dxa"/>
          </w:tcPr>
          <w:p w14:paraId="6CF5FF1A"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Las restricciones de crédito reducen la inversión de las empresas mexicanas</w:t>
            </w:r>
          </w:p>
        </w:tc>
      </w:tr>
      <w:tr w:rsidR="00EB77EF" w:rsidRPr="00341CD7" w14:paraId="75AB8468" w14:textId="77777777">
        <w:tc>
          <w:tcPr>
            <w:tcW w:w="2340" w:type="dxa"/>
          </w:tcPr>
          <w:p w14:paraId="5E13B573" w14:textId="77777777" w:rsidR="00EB77EF" w:rsidRPr="00F5611F" w:rsidRDefault="00EB77EF" w:rsidP="00F5611F">
            <w:pPr>
              <w:spacing w:line="360" w:lineRule="auto"/>
              <w:jc w:val="both"/>
              <w:rPr>
                <w:rFonts w:ascii="Arial" w:hAnsi="Arial" w:cs="Arial"/>
              </w:rPr>
            </w:pPr>
            <w:hyperlink r:id="rId14" w:history="1">
              <w:r w:rsidRPr="00F5611F">
                <w:rPr>
                  <w:rStyle w:val="Hipervnculo"/>
                  <w:rFonts w:ascii="Arial" w:hAnsi="Arial" w:cs="Arial"/>
                </w:rPr>
                <w:t>Carballo y Dalle-</w:t>
              </w:r>
              <w:proofErr w:type="spellStart"/>
              <w:r w:rsidRPr="00F5611F">
                <w:rPr>
                  <w:rStyle w:val="Hipervnculo"/>
                  <w:rFonts w:ascii="Arial" w:hAnsi="Arial" w:cs="Arial"/>
                </w:rPr>
                <w:t>Nogare</w:t>
              </w:r>
              <w:proofErr w:type="spellEnd"/>
              <w:r w:rsidRPr="00F5611F">
                <w:rPr>
                  <w:rStyle w:val="Hipervnculo"/>
                  <w:rFonts w:ascii="Arial" w:hAnsi="Arial" w:cs="Arial"/>
                </w:rPr>
                <w:t xml:space="preserve"> (2019)</w:t>
              </w:r>
            </w:hyperlink>
          </w:p>
        </w:tc>
        <w:tc>
          <w:tcPr>
            <w:tcW w:w="2340" w:type="dxa"/>
          </w:tcPr>
          <w:p w14:paraId="3524DF62" w14:textId="77777777" w:rsidR="00EB77EF" w:rsidRPr="00F5611F" w:rsidRDefault="00000000" w:rsidP="00F5611F">
            <w:pPr>
              <w:spacing w:line="360" w:lineRule="auto"/>
              <w:jc w:val="both"/>
              <w:rPr>
                <w:rFonts w:ascii="Arial" w:hAnsi="Arial" w:cs="Arial"/>
              </w:rPr>
            </w:pPr>
            <w:r w:rsidRPr="00F5611F">
              <w:rPr>
                <w:rFonts w:ascii="Arial" w:hAnsi="Arial" w:cs="Arial"/>
              </w:rPr>
              <w:t>Revista CEA, 5(10), 11–34 (</w:t>
            </w:r>
            <w:proofErr w:type="spellStart"/>
            <w:r w:rsidRPr="00F5611F">
              <w:rPr>
                <w:rFonts w:ascii="Arial" w:hAnsi="Arial" w:cs="Arial"/>
              </w:rPr>
              <w:t>Latindex</w:t>
            </w:r>
            <w:proofErr w:type="spellEnd"/>
            <w:r w:rsidRPr="00F5611F">
              <w:rPr>
                <w:rFonts w:ascii="Arial" w:hAnsi="Arial" w:cs="Arial"/>
              </w:rPr>
              <w:t>)</w:t>
            </w:r>
          </w:p>
        </w:tc>
        <w:tc>
          <w:tcPr>
            <w:tcW w:w="2340" w:type="dxa"/>
          </w:tcPr>
          <w:p w14:paraId="629A8DF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Revisión de literatura, casos México, Chile y Perú</w:t>
            </w:r>
          </w:p>
        </w:tc>
        <w:tc>
          <w:tcPr>
            <w:tcW w:w="2340" w:type="dxa"/>
          </w:tcPr>
          <w:p w14:paraId="5E441A22"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Las fintech amplían el acceso, pero su impacto es heterogéneo y depende de la regulación</w:t>
            </w:r>
          </w:p>
        </w:tc>
      </w:tr>
      <w:tr w:rsidR="00EB77EF" w:rsidRPr="00341CD7" w14:paraId="50AE1436" w14:textId="77777777">
        <w:tc>
          <w:tcPr>
            <w:tcW w:w="2340" w:type="dxa"/>
          </w:tcPr>
          <w:p w14:paraId="500385DD" w14:textId="77777777" w:rsidR="00EB77EF" w:rsidRPr="00F5611F" w:rsidRDefault="00EB77EF" w:rsidP="00F5611F">
            <w:pPr>
              <w:spacing w:line="360" w:lineRule="auto"/>
              <w:jc w:val="both"/>
              <w:rPr>
                <w:rFonts w:ascii="Arial" w:hAnsi="Arial" w:cs="Arial"/>
                <w:lang w:val="es-MX"/>
              </w:rPr>
            </w:pPr>
            <w:hyperlink r:id="rId15" w:history="1">
              <w:r w:rsidRPr="00F5611F">
                <w:rPr>
                  <w:rStyle w:val="Hipervnculo"/>
                  <w:rFonts w:ascii="Arial" w:hAnsi="Arial" w:cs="Arial"/>
                  <w:lang w:val="es-MX"/>
                </w:rPr>
                <w:t>Gómez Martínez y López Mejía (2016)</w:t>
              </w:r>
            </w:hyperlink>
          </w:p>
        </w:tc>
        <w:tc>
          <w:tcPr>
            <w:tcW w:w="2340" w:type="dxa"/>
          </w:tcPr>
          <w:p w14:paraId="32334155"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Contaduría y Administración, 61(4), 777–793, UNAM (Scopus, SciELO)</w:t>
            </w:r>
          </w:p>
        </w:tc>
        <w:tc>
          <w:tcPr>
            <w:tcW w:w="2340" w:type="dxa"/>
          </w:tcPr>
          <w:p w14:paraId="735E2FB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Encuesta a ejecutivos de crédito de 25 intermediarios</w:t>
            </w:r>
          </w:p>
        </w:tc>
        <w:tc>
          <w:tcPr>
            <w:tcW w:w="2340" w:type="dxa"/>
          </w:tcPr>
          <w:p w14:paraId="7F5A925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Las ejecutivas valoran más los factores no financieros del solicitante que sus colegas hombres</w:t>
            </w:r>
          </w:p>
        </w:tc>
      </w:tr>
      <w:tr w:rsidR="00EB77EF" w:rsidRPr="00341CD7" w14:paraId="7B6880D9" w14:textId="77777777">
        <w:tc>
          <w:tcPr>
            <w:tcW w:w="2340" w:type="dxa"/>
          </w:tcPr>
          <w:p w14:paraId="414A4365" w14:textId="77777777" w:rsidR="00EB77EF" w:rsidRPr="00F5611F" w:rsidRDefault="00EB77EF" w:rsidP="00F5611F">
            <w:pPr>
              <w:spacing w:line="360" w:lineRule="auto"/>
              <w:jc w:val="both"/>
              <w:rPr>
                <w:rFonts w:ascii="Arial" w:hAnsi="Arial" w:cs="Arial"/>
              </w:rPr>
            </w:pPr>
            <w:hyperlink r:id="rId16" w:history="1">
              <w:r w:rsidRPr="00F5611F">
                <w:rPr>
                  <w:rStyle w:val="Hipervnculo"/>
                  <w:rFonts w:ascii="Arial" w:hAnsi="Arial" w:cs="Arial"/>
                </w:rPr>
                <w:t>Inequalities in Firms’ Access to Credit in Latin America (2013)</w:t>
              </w:r>
            </w:hyperlink>
          </w:p>
        </w:tc>
        <w:tc>
          <w:tcPr>
            <w:tcW w:w="2340" w:type="dxa"/>
          </w:tcPr>
          <w:p w14:paraId="5908431F" w14:textId="77777777" w:rsidR="00EB77EF" w:rsidRPr="00F5611F" w:rsidRDefault="00000000" w:rsidP="00F5611F">
            <w:pPr>
              <w:spacing w:line="360" w:lineRule="auto"/>
              <w:jc w:val="both"/>
              <w:rPr>
                <w:rFonts w:ascii="Arial" w:hAnsi="Arial" w:cs="Arial"/>
              </w:rPr>
            </w:pPr>
            <w:r w:rsidRPr="00F5611F">
              <w:rPr>
                <w:rFonts w:ascii="Arial" w:hAnsi="Arial" w:cs="Arial"/>
              </w:rPr>
              <w:t>Global Economy Journal, 13(3–4), 283–318</w:t>
            </w:r>
          </w:p>
        </w:tc>
        <w:tc>
          <w:tcPr>
            <w:tcW w:w="2340" w:type="dxa"/>
          </w:tcPr>
          <w:p w14:paraId="2D03D66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Regresiones con encuestas del Banco Mundial: Argentina, Brasil, Chile y México</w:t>
            </w:r>
          </w:p>
        </w:tc>
        <w:tc>
          <w:tcPr>
            <w:tcW w:w="2340" w:type="dxa"/>
          </w:tcPr>
          <w:p w14:paraId="0744F49B"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Empresas más pequeñas, nuevas y menos tecnificadas están más restringidas; trabajar con varios bancos o pertenecer a </w:t>
            </w:r>
            <w:r w:rsidRPr="00F5611F">
              <w:rPr>
                <w:rFonts w:ascii="Arial" w:hAnsi="Arial" w:cs="Arial"/>
                <w:lang w:val="es-MX"/>
              </w:rPr>
              <w:lastRenderedPageBreak/>
              <w:t>asociaciones reduce la restricción</w:t>
            </w:r>
          </w:p>
        </w:tc>
      </w:tr>
    </w:tbl>
    <w:p w14:paraId="7323FAEB"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lastRenderedPageBreak/>
        <w:t>Las fuentes institucionales refuerzan el mismo cuadro. CEPAL encontró que más de la mitad de las pymes mexicanas no tenía cuenta y tres de cada cuatro no tenían crédito, muchas porque decían no necesitarlo (</w:t>
      </w:r>
      <w:r w:rsidR="00EB77EF">
        <w:fldChar w:fldCharType="begin"/>
      </w:r>
      <w:r w:rsidR="00EB77EF" w:rsidRPr="00341CD7">
        <w:rPr>
          <w:lang w:val="es-MX"/>
        </w:rPr>
        <w:instrText>HYPERLINK "https://www.cepal.org/pt-br/node/39690"</w:instrText>
      </w:r>
      <w:r w:rsidR="00EB77EF">
        <w:fldChar w:fldCharType="separate"/>
      </w:r>
      <w:r w:rsidR="00EB77EF" w:rsidRPr="00F5611F">
        <w:rPr>
          <w:rStyle w:val="Hipervnculo"/>
          <w:rFonts w:ascii="Arial" w:hAnsi="Arial" w:cs="Arial"/>
          <w:lang w:val="es-MX"/>
        </w:rPr>
        <w:t>Lecuona, 2016</w:t>
      </w:r>
      <w:r w:rsidR="00EB77EF">
        <w:fldChar w:fldCharType="end"/>
      </w:r>
      <w:r w:rsidRPr="00F5611F">
        <w:rPr>
          <w:rFonts w:ascii="Arial" w:hAnsi="Arial" w:cs="Arial"/>
          <w:lang w:val="es-MX"/>
        </w:rPr>
        <w:t>); también comparó el caso mexicano con el ecuatoriano (</w:t>
      </w:r>
      <w:r w:rsidR="00EB77EF">
        <w:fldChar w:fldCharType="begin"/>
      </w:r>
      <w:r w:rsidR="00EB77EF" w:rsidRPr="00341CD7">
        <w:rPr>
          <w:lang w:val="es-MX"/>
        </w:rPr>
        <w:instrText>HYPERLINK "https://repositorio.cepal.org/bitstream/handle/11362/40848/S1601083_es.pdf?sequence=1"</w:instrText>
      </w:r>
      <w:r w:rsidR="00EB77EF">
        <w:fldChar w:fldCharType="separate"/>
      </w:r>
      <w:r w:rsidR="00EB77EF" w:rsidRPr="00F5611F">
        <w:rPr>
          <w:rStyle w:val="Hipervnculo"/>
          <w:rFonts w:ascii="Arial" w:hAnsi="Arial" w:cs="Arial"/>
          <w:lang w:val="es-MX"/>
        </w:rPr>
        <w:t>Pavón Cuéllar, 2016</w:t>
      </w:r>
      <w:r w:rsidR="00EB77EF">
        <w:fldChar w:fldCharType="end"/>
      </w:r>
      <w:r w:rsidRPr="00F5611F">
        <w:rPr>
          <w:rFonts w:ascii="Arial" w:hAnsi="Arial" w:cs="Arial"/>
          <w:lang w:val="es-MX"/>
        </w:rPr>
        <w:t>). La CNBV, por su parte, mostró que el financiamiento sí eleva la productividad laboral y que las empresas lideradas por mujeres piden menos crédito, en parte porque sienten que no cumplirían los requisitos (</w:t>
      </w:r>
      <w:r w:rsidR="00EB77EF">
        <w:fldChar w:fldCharType="begin"/>
      </w:r>
      <w:r w:rsidR="00EB77EF" w:rsidRPr="00341CD7">
        <w:rPr>
          <w:lang w:val="es-MX"/>
        </w:rPr>
        <w:instrText>HYPERLINK "https://www.gob.mx/cms/uploads/attachment/file/846226/Estudios_Econ_micos_CNBV_-_Vol._5__2023.pdf"</w:instrText>
      </w:r>
      <w:r w:rsidR="00EB77EF">
        <w:fldChar w:fldCharType="separate"/>
      </w:r>
      <w:r w:rsidR="00EB77EF" w:rsidRPr="00F5611F">
        <w:rPr>
          <w:rStyle w:val="Hipervnculo"/>
          <w:rFonts w:ascii="Arial" w:hAnsi="Arial" w:cs="Arial"/>
          <w:lang w:val="es-MX"/>
        </w:rPr>
        <w:t>Estudios Económicos CNBV, vol. 5</w:t>
      </w:r>
      <w:r w:rsidR="00EB77EF">
        <w:fldChar w:fldCharType="end"/>
      </w:r>
      <w:r w:rsidRPr="00F5611F">
        <w:rPr>
          <w:rFonts w:ascii="Arial" w:hAnsi="Arial" w:cs="Arial"/>
          <w:lang w:val="es-MX"/>
        </w:rPr>
        <w:t>).</w:t>
      </w:r>
    </w:p>
    <w:p w14:paraId="465DED66"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Leída en conjunto, la evidencia se ordena en cinco hilos que conectan con la teoría de la sección 1. Del lado de la demanda, la edad, el tamaño y el sector pesan más que el perfil del dueño, y muchas empresas se autoexcluyen, tal como anticipa el </w:t>
      </w:r>
      <w:r w:rsidRPr="00F5611F">
        <w:rPr>
          <w:rFonts w:ascii="Arial" w:hAnsi="Arial" w:cs="Arial"/>
          <w:i/>
          <w:lang w:val="es-MX"/>
        </w:rPr>
        <w:t>pecking order</w:t>
      </w:r>
      <w:r w:rsidRPr="00F5611F">
        <w:rPr>
          <w:rFonts w:ascii="Arial" w:hAnsi="Arial" w:cs="Arial"/>
          <w:lang w:val="es-MX"/>
        </w:rPr>
        <w:t>. Del lado de la oferta, la concentración bancaria y la baja solvencia de la pyme reducen el interés de los bancos por prestarle. La brecha de género persiste y mezcla factores de oferta con autopercepción. Los pagos digitales y las fintech crean historial, pero necesitan confianza y educación financiera. Y la banca de desarrollo ha movido muchos recursos con poco efecto en la cartera pyme.</w:t>
      </w:r>
    </w:p>
    <w:p w14:paraId="1C694EC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Con estos cinco hilos en mente se puede leer mejor lo que propone Plan México.</w:t>
      </w:r>
    </w:p>
    <w:p w14:paraId="0EFFF147" w14:textId="77777777" w:rsidR="00EB77EF" w:rsidRPr="00F5611F" w:rsidRDefault="00000000" w:rsidP="00F5611F">
      <w:pPr>
        <w:pStyle w:val="Ttulo2"/>
        <w:spacing w:line="360" w:lineRule="auto"/>
        <w:jc w:val="both"/>
        <w:rPr>
          <w:rFonts w:ascii="Arial" w:hAnsi="Arial" w:cs="Arial"/>
          <w:sz w:val="22"/>
          <w:lang w:val="es-MX"/>
        </w:rPr>
      </w:pPr>
      <w:r w:rsidRPr="00F5611F">
        <w:rPr>
          <w:rFonts w:ascii="Arial" w:hAnsi="Arial" w:cs="Arial"/>
          <w:sz w:val="22"/>
          <w:lang w:val="es-MX"/>
        </w:rPr>
        <w:t>4. Plan México: la respuesta de política</w:t>
      </w:r>
    </w:p>
    <w:p w14:paraId="0BD7E12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Plan México es el primer plan económico reciente que le pone cifra a la inclusión financiera de las pymes: que 30% de las mipymes tenga acceso a financiamiento en 2030 y que las que tienen crédito bancario crezcan 3.5% al año (</w:t>
      </w:r>
      <w:r w:rsidR="00EB77EF">
        <w:fldChar w:fldCharType="begin"/>
      </w:r>
      <w:r w:rsidR="00EB77EF" w:rsidRPr="00341CD7">
        <w:rPr>
          <w:lang w:val="es-MX"/>
        </w:rPr>
        <w:instrText>HYPERLINK "https://abm.org.mx/sala-de-prensa/historico/Comunicado_08_05_2025.pdf"</w:instrText>
      </w:r>
      <w:r w:rsidR="00EB77EF">
        <w:fldChar w:fldCharType="separate"/>
      </w:r>
      <w:r w:rsidR="00EB77EF" w:rsidRPr="00F5611F">
        <w:rPr>
          <w:rStyle w:val="Hipervnculo"/>
          <w:rFonts w:ascii="Arial" w:hAnsi="Arial" w:cs="Arial"/>
          <w:lang w:val="es-MX"/>
        </w:rPr>
        <w:t>ABM</w:t>
      </w:r>
      <w:r w:rsidR="00EB77EF">
        <w:fldChar w:fldCharType="end"/>
      </w:r>
      <w:r w:rsidRPr="00F5611F">
        <w:rPr>
          <w:rFonts w:ascii="Arial" w:hAnsi="Arial" w:cs="Arial"/>
          <w:lang w:val="es-MX"/>
        </w:rPr>
        <w:t>). Es, en otras palabras, la respuesta del gobierno al problema descrito en las secciones anteriores.</w:t>
      </w:r>
    </w:p>
    <w:p w14:paraId="73E4422B"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El plan se presentó el 13 de enero de 2025 con un portafolio de 277 mil millones de dólares en cerca de 2 mil proyectos (</w:t>
      </w:r>
      <w:r w:rsidR="00EB77EF">
        <w:fldChar w:fldCharType="begin"/>
      </w:r>
      <w:r w:rsidR="00EB77EF" w:rsidRPr="00341CD7">
        <w:rPr>
          <w:lang w:val="es-MX"/>
        </w:rPr>
        <w:instrText>HYPERLINK "https://www.nmas.com.mx/politica/presentacion-plan-mexico-sheinbaum-en-que-consiste-estrategia-economica-2024-2030"</w:instrText>
      </w:r>
      <w:r w:rsidR="00EB77EF">
        <w:fldChar w:fldCharType="separate"/>
      </w:r>
      <w:r w:rsidR="00EB77EF" w:rsidRPr="00F5611F">
        <w:rPr>
          <w:rStyle w:val="Hipervnculo"/>
          <w:rFonts w:ascii="Arial" w:hAnsi="Arial" w:cs="Arial"/>
          <w:lang w:val="es-MX"/>
        </w:rPr>
        <w:t>N+</w:t>
      </w:r>
      <w:r w:rsidR="00EB77EF">
        <w:fldChar w:fldCharType="end"/>
      </w:r>
      <w:r w:rsidRPr="00F5611F">
        <w:rPr>
          <w:rFonts w:ascii="Arial" w:hAnsi="Arial" w:cs="Arial"/>
          <w:lang w:val="es-MX"/>
        </w:rPr>
        <w:t>). Se organiza en tres ejes —mercado nacional y regional, reindustrialización y empleo, sostenibilidad y equidad— y 13 metas (</w:t>
      </w:r>
      <w:r w:rsidR="00EB77EF">
        <w:fldChar w:fldCharType="begin"/>
      </w:r>
      <w:r w:rsidR="00EB77EF" w:rsidRPr="00341CD7">
        <w:rPr>
          <w:lang w:val="es-MX"/>
        </w:rPr>
        <w:instrText>HYPERLINK "https://is.uv.mx/index.php/IS/article/download/3006/4807/14224"</w:instrText>
      </w:r>
      <w:r w:rsidR="00EB77EF">
        <w:fldChar w:fldCharType="separate"/>
      </w:r>
      <w:r w:rsidR="00EB77EF" w:rsidRPr="00F5611F">
        <w:rPr>
          <w:rStyle w:val="Hipervnculo"/>
          <w:rFonts w:ascii="Arial" w:hAnsi="Arial" w:cs="Arial"/>
          <w:lang w:val="es-MX"/>
        </w:rPr>
        <w:t>Universidad Veracruzana</w:t>
      </w:r>
      <w:r w:rsidR="00EB77EF">
        <w:fldChar w:fldCharType="end"/>
      </w:r>
      <w:r w:rsidRPr="00F5611F">
        <w:rPr>
          <w:rFonts w:ascii="Arial" w:hAnsi="Arial" w:cs="Arial"/>
          <w:lang w:val="es-MX"/>
        </w:rPr>
        <w:t>); la de pymes es la meta 11 (</w:t>
      </w:r>
      <w:r w:rsidR="00EB77EF">
        <w:fldChar w:fldCharType="begin"/>
      </w:r>
      <w:r w:rsidR="00EB77EF" w:rsidRPr="00341CD7">
        <w:rPr>
          <w:lang w:val="es-MX"/>
        </w:rPr>
        <w:instrText>HYPERLINK "https://dgutyp.sep.gob.mx/Estructura\\Normatividad\\Plan_Mexico_PB.pdf"</w:instrText>
      </w:r>
      <w:r w:rsidR="00EB77EF">
        <w:fldChar w:fldCharType="separate"/>
      </w:r>
      <w:r w:rsidR="00EB77EF" w:rsidRPr="00F5611F">
        <w:rPr>
          <w:rStyle w:val="Hipervnculo"/>
          <w:rFonts w:ascii="Arial" w:hAnsi="Arial" w:cs="Arial"/>
          <w:lang w:val="es-MX"/>
        </w:rPr>
        <w:t>presentación oficial, SEP</w:t>
      </w:r>
      <w:r w:rsidR="00EB77EF">
        <w:fldChar w:fldCharType="end"/>
      </w:r>
      <w:r w:rsidRPr="00F5611F">
        <w:rPr>
          <w:rFonts w:ascii="Arial" w:hAnsi="Arial" w:cs="Arial"/>
          <w:lang w:val="es-MX"/>
        </w:rPr>
        <w:t>). En abril de 2025 quedó integrado al Plan Nacional de Desarrollo 2025–2030 (</w:t>
      </w:r>
      <w:r w:rsidR="00EB77EF">
        <w:fldChar w:fldCharType="begin"/>
      </w:r>
      <w:r w:rsidR="00EB77EF" w:rsidRPr="00341CD7">
        <w:rPr>
          <w:lang w:val="es-MX"/>
        </w:rPr>
        <w:instrText>HYPERLINK "https://www.stratego-st.com/?p=31463"</w:instrText>
      </w:r>
      <w:r w:rsidR="00EB77EF">
        <w:fldChar w:fldCharType="separate"/>
      </w:r>
      <w:r w:rsidR="00EB77EF" w:rsidRPr="00F5611F">
        <w:rPr>
          <w:rStyle w:val="Hipervnculo"/>
          <w:rFonts w:ascii="Arial" w:hAnsi="Arial" w:cs="Arial"/>
          <w:lang w:val="es-MX"/>
        </w:rPr>
        <w:t>Stratego</w:t>
      </w:r>
      <w:r w:rsidR="00EB77EF">
        <w:fldChar w:fldCharType="end"/>
      </w:r>
      <w:r w:rsidRPr="00F5611F">
        <w:rPr>
          <w:rFonts w:ascii="Arial" w:hAnsi="Arial" w:cs="Arial"/>
          <w:lang w:val="es-MX"/>
        </w:rPr>
        <w:t>).</w:t>
      </w:r>
    </w:p>
    <w:p w14:paraId="16CB58A5"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meta no es menor. La ABM calculó que exige dar crédito a 64 mil mipymes nuevas, más de 10,650 cada año, y que el primer ingrediente son las garantías de la banca de gobierno (</w:t>
      </w:r>
      <w:r w:rsidR="00EB77EF">
        <w:fldChar w:fldCharType="begin"/>
      </w:r>
      <w:r w:rsidR="00EB77EF" w:rsidRPr="00341CD7">
        <w:rPr>
          <w:lang w:val="es-MX"/>
        </w:rPr>
        <w:instrText>HYPERLINK "https://www.abm.org.mx/sala-de-prensa/img/fotogaleria/Comunicado_de_prensa_ABM_26022025.pdf"</w:instrText>
      </w:r>
      <w:r w:rsidR="00EB77EF">
        <w:fldChar w:fldCharType="separate"/>
      </w:r>
      <w:r w:rsidR="00EB77EF" w:rsidRPr="00F5611F">
        <w:rPr>
          <w:rStyle w:val="Hipervnculo"/>
          <w:rFonts w:ascii="Arial" w:hAnsi="Arial" w:cs="Arial"/>
          <w:lang w:val="es-MX"/>
        </w:rPr>
        <w:t>ABM, feb. 2025</w:t>
      </w:r>
      <w:r w:rsidR="00EB77EF">
        <w:fldChar w:fldCharType="end"/>
      </w:r>
      <w:r w:rsidRPr="00F5611F">
        <w:rPr>
          <w:rFonts w:ascii="Arial" w:hAnsi="Arial" w:cs="Arial"/>
          <w:lang w:val="es-MX"/>
        </w:rPr>
        <w:t>). La tabla recoge cómo se ha ido desplegando el plan desde entonces.</w:t>
      </w:r>
    </w:p>
    <w:tbl>
      <w:tblPr>
        <w:tblStyle w:val="Tablaconcuadrcula"/>
        <w:tblW w:w="0" w:type="auto"/>
        <w:tblLayout w:type="fixed"/>
        <w:tblLook w:val="0420" w:firstRow="1" w:lastRow="0" w:firstColumn="0" w:lastColumn="0" w:noHBand="0" w:noVBand="1"/>
      </w:tblPr>
      <w:tblGrid>
        <w:gridCol w:w="3120"/>
        <w:gridCol w:w="3120"/>
        <w:gridCol w:w="3120"/>
      </w:tblGrid>
      <w:tr w:rsidR="00EB77EF" w:rsidRPr="00F5611F" w14:paraId="231E2CB4" w14:textId="77777777">
        <w:trPr>
          <w:tblHeader/>
        </w:trPr>
        <w:tc>
          <w:tcPr>
            <w:tcW w:w="3120" w:type="dxa"/>
            <w:shd w:val="clear" w:color="auto" w:fill="F2F2F2"/>
          </w:tcPr>
          <w:p w14:paraId="12147082"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lastRenderedPageBreak/>
              <w:t>Fecha</w:t>
            </w:r>
            <w:proofErr w:type="spellEnd"/>
          </w:p>
        </w:tc>
        <w:tc>
          <w:tcPr>
            <w:tcW w:w="3120" w:type="dxa"/>
            <w:shd w:val="clear" w:color="auto" w:fill="F2F2F2"/>
          </w:tcPr>
          <w:p w14:paraId="352CF867"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Hecho</w:t>
            </w:r>
            <w:proofErr w:type="spellEnd"/>
            <w:r w:rsidRPr="00F5611F">
              <w:rPr>
                <w:rFonts w:ascii="Arial" w:hAnsi="Arial" w:cs="Arial"/>
              </w:rPr>
              <w:t xml:space="preserve"> o </w:t>
            </w:r>
            <w:proofErr w:type="spellStart"/>
            <w:r w:rsidRPr="00F5611F">
              <w:rPr>
                <w:rFonts w:ascii="Arial" w:hAnsi="Arial" w:cs="Arial"/>
              </w:rPr>
              <w:t>instrumento</w:t>
            </w:r>
            <w:proofErr w:type="spellEnd"/>
          </w:p>
        </w:tc>
        <w:tc>
          <w:tcPr>
            <w:tcW w:w="3120" w:type="dxa"/>
            <w:shd w:val="clear" w:color="auto" w:fill="F2F2F2"/>
          </w:tcPr>
          <w:p w14:paraId="194264B5" w14:textId="77777777" w:rsidR="00EB77EF" w:rsidRPr="00F5611F" w:rsidRDefault="00000000" w:rsidP="00F5611F">
            <w:pPr>
              <w:spacing w:line="360" w:lineRule="auto"/>
              <w:jc w:val="both"/>
              <w:rPr>
                <w:rFonts w:ascii="Arial" w:hAnsi="Arial" w:cs="Arial"/>
              </w:rPr>
            </w:pPr>
            <w:r w:rsidRPr="00F5611F">
              <w:rPr>
                <w:rFonts w:ascii="Arial" w:hAnsi="Arial" w:cs="Arial"/>
              </w:rPr>
              <w:t>Fuente</w:t>
            </w:r>
          </w:p>
        </w:tc>
      </w:tr>
      <w:tr w:rsidR="00EB77EF" w:rsidRPr="00F5611F" w14:paraId="5E787CCD" w14:textId="77777777">
        <w:tc>
          <w:tcPr>
            <w:tcW w:w="3120" w:type="dxa"/>
          </w:tcPr>
          <w:p w14:paraId="57A5AAAA" w14:textId="77777777" w:rsidR="00EB77EF" w:rsidRPr="00F5611F" w:rsidRDefault="00000000" w:rsidP="00F5611F">
            <w:pPr>
              <w:spacing w:line="360" w:lineRule="auto"/>
              <w:jc w:val="both"/>
              <w:rPr>
                <w:rFonts w:ascii="Arial" w:hAnsi="Arial" w:cs="Arial"/>
              </w:rPr>
            </w:pPr>
            <w:r w:rsidRPr="00F5611F">
              <w:rPr>
                <w:rFonts w:ascii="Arial" w:hAnsi="Arial" w:cs="Arial"/>
              </w:rPr>
              <w:t>Mar 2026</w:t>
            </w:r>
          </w:p>
        </w:tc>
        <w:tc>
          <w:tcPr>
            <w:tcW w:w="3120" w:type="dxa"/>
          </w:tcPr>
          <w:p w14:paraId="09911B38"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En la 89 Convención Bancaria la banca se compromete a elevar el crédito total de 38% a 45% del PIB, escalonado a 2030; la ABM decía estar cerca de la meta pyme de 30%</w:t>
            </w:r>
          </w:p>
        </w:tc>
        <w:tc>
          <w:tcPr>
            <w:tcW w:w="3120" w:type="dxa"/>
          </w:tcPr>
          <w:p w14:paraId="1ECDF68F" w14:textId="77777777" w:rsidR="00EB77EF" w:rsidRPr="00F5611F" w:rsidRDefault="00EB77EF" w:rsidP="00F5611F">
            <w:pPr>
              <w:spacing w:line="360" w:lineRule="auto"/>
              <w:jc w:val="both"/>
              <w:rPr>
                <w:rFonts w:ascii="Arial" w:hAnsi="Arial" w:cs="Arial"/>
              </w:rPr>
            </w:pPr>
            <w:hyperlink r:id="rId17" w:history="1">
              <w:r w:rsidRPr="00F5611F">
                <w:rPr>
                  <w:rStyle w:val="Hipervnculo"/>
                  <w:rFonts w:ascii="Arial" w:hAnsi="Arial" w:cs="Arial"/>
                </w:rPr>
                <w:t>Milenio</w:t>
              </w:r>
            </w:hyperlink>
            <w:r w:rsidR="00000000" w:rsidRPr="00F5611F">
              <w:rPr>
                <w:rFonts w:ascii="Arial" w:hAnsi="Arial" w:cs="Arial"/>
              </w:rPr>
              <w:t xml:space="preserve">, </w:t>
            </w:r>
            <w:hyperlink r:id="rId18" w:history="1">
              <w:proofErr w:type="spellStart"/>
              <w:r w:rsidRPr="00F5611F">
                <w:rPr>
                  <w:rStyle w:val="Hipervnculo"/>
                  <w:rFonts w:ascii="Arial" w:hAnsi="Arial" w:cs="Arial"/>
                </w:rPr>
                <w:t>Expansión</w:t>
              </w:r>
              <w:proofErr w:type="spellEnd"/>
            </w:hyperlink>
          </w:p>
        </w:tc>
      </w:tr>
      <w:tr w:rsidR="00EB77EF" w:rsidRPr="00F5611F" w14:paraId="301BBFC6" w14:textId="77777777">
        <w:tc>
          <w:tcPr>
            <w:tcW w:w="3120" w:type="dxa"/>
          </w:tcPr>
          <w:p w14:paraId="4F58AECC" w14:textId="77777777" w:rsidR="00EB77EF" w:rsidRPr="00F5611F" w:rsidRDefault="00000000" w:rsidP="00F5611F">
            <w:pPr>
              <w:spacing w:line="360" w:lineRule="auto"/>
              <w:jc w:val="both"/>
              <w:rPr>
                <w:rFonts w:ascii="Arial" w:hAnsi="Arial" w:cs="Arial"/>
              </w:rPr>
            </w:pPr>
            <w:r w:rsidRPr="00F5611F">
              <w:rPr>
                <w:rFonts w:ascii="Arial" w:hAnsi="Arial" w:cs="Arial"/>
              </w:rPr>
              <w:t>Mar 2026</w:t>
            </w:r>
          </w:p>
        </w:tc>
        <w:tc>
          <w:tcPr>
            <w:tcW w:w="3120" w:type="dxa"/>
          </w:tcPr>
          <w:p w14:paraId="18369849"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Banxico emite regulación para simplificar pagos digitales combinando CoDi y DiMo</w:t>
            </w:r>
          </w:p>
        </w:tc>
        <w:tc>
          <w:tcPr>
            <w:tcW w:w="3120" w:type="dxa"/>
          </w:tcPr>
          <w:p w14:paraId="017CE9A3" w14:textId="77777777" w:rsidR="00EB77EF" w:rsidRPr="00F5611F" w:rsidRDefault="00EB77EF" w:rsidP="00F5611F">
            <w:pPr>
              <w:spacing w:line="360" w:lineRule="auto"/>
              <w:jc w:val="both"/>
              <w:rPr>
                <w:rFonts w:ascii="Arial" w:hAnsi="Arial" w:cs="Arial"/>
              </w:rPr>
            </w:pPr>
            <w:hyperlink r:id="rId19" w:history="1">
              <w:proofErr w:type="spellStart"/>
              <w:r w:rsidRPr="00F5611F">
                <w:rPr>
                  <w:rStyle w:val="Hipervnculo"/>
                  <w:rFonts w:ascii="Arial" w:hAnsi="Arial" w:cs="Arial"/>
                </w:rPr>
                <w:t>Expansión</w:t>
              </w:r>
              <w:proofErr w:type="spellEnd"/>
            </w:hyperlink>
          </w:p>
        </w:tc>
      </w:tr>
      <w:tr w:rsidR="00EB77EF" w:rsidRPr="00F5611F" w14:paraId="4DC0F344" w14:textId="77777777">
        <w:tc>
          <w:tcPr>
            <w:tcW w:w="3120" w:type="dxa"/>
          </w:tcPr>
          <w:p w14:paraId="3398D331" w14:textId="77777777" w:rsidR="00EB77EF" w:rsidRPr="00F5611F" w:rsidRDefault="00000000" w:rsidP="00F5611F">
            <w:pPr>
              <w:spacing w:line="360" w:lineRule="auto"/>
              <w:jc w:val="both"/>
              <w:rPr>
                <w:rFonts w:ascii="Arial" w:hAnsi="Arial" w:cs="Arial"/>
              </w:rPr>
            </w:pPr>
            <w:r w:rsidRPr="00F5611F">
              <w:rPr>
                <w:rFonts w:ascii="Arial" w:hAnsi="Arial" w:cs="Arial"/>
              </w:rPr>
              <w:t>Dic 2025</w:t>
            </w:r>
          </w:p>
        </w:tc>
        <w:tc>
          <w:tcPr>
            <w:tcW w:w="3120" w:type="dxa"/>
          </w:tcPr>
          <w:p w14:paraId="08EACFFD"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“Crece tu Mipyme con pagos digitales” (Economía, Visa, BBVA): hasta un millón de mipymes; primera fase en 2026</w:t>
            </w:r>
          </w:p>
        </w:tc>
        <w:tc>
          <w:tcPr>
            <w:tcW w:w="3120" w:type="dxa"/>
          </w:tcPr>
          <w:p w14:paraId="3339DC30" w14:textId="77777777" w:rsidR="00EB77EF" w:rsidRPr="00F5611F" w:rsidRDefault="00EB77EF" w:rsidP="00F5611F">
            <w:pPr>
              <w:spacing w:line="360" w:lineRule="auto"/>
              <w:jc w:val="both"/>
              <w:rPr>
                <w:rFonts w:ascii="Arial" w:hAnsi="Arial" w:cs="Arial"/>
              </w:rPr>
            </w:pPr>
            <w:hyperlink r:id="rId20" w:history="1">
              <w:r w:rsidRPr="00F5611F">
                <w:rPr>
                  <w:rStyle w:val="Hipervnculo"/>
                  <w:rFonts w:ascii="Arial" w:hAnsi="Arial" w:cs="Arial"/>
                </w:rPr>
                <w:t>BBVA</w:t>
              </w:r>
            </w:hyperlink>
          </w:p>
        </w:tc>
      </w:tr>
      <w:tr w:rsidR="00EB77EF" w:rsidRPr="00F5611F" w14:paraId="4741F35E" w14:textId="77777777">
        <w:tc>
          <w:tcPr>
            <w:tcW w:w="3120" w:type="dxa"/>
          </w:tcPr>
          <w:p w14:paraId="7E416761" w14:textId="77777777" w:rsidR="00EB77EF" w:rsidRPr="00F5611F" w:rsidRDefault="00000000" w:rsidP="00F5611F">
            <w:pPr>
              <w:spacing w:line="360" w:lineRule="auto"/>
              <w:jc w:val="both"/>
              <w:rPr>
                <w:rFonts w:ascii="Arial" w:hAnsi="Arial" w:cs="Arial"/>
              </w:rPr>
            </w:pPr>
            <w:r w:rsidRPr="00F5611F">
              <w:rPr>
                <w:rFonts w:ascii="Arial" w:hAnsi="Arial" w:cs="Arial"/>
              </w:rPr>
              <w:t>Sep 2025</w:t>
            </w:r>
          </w:p>
        </w:tc>
        <w:tc>
          <w:tcPr>
            <w:tcW w:w="3120" w:type="dxa"/>
          </w:tcPr>
          <w:p w14:paraId="2E27FD82"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banca de desarrollo fondea a 174 SOFOMES con 138 mil millones de pesos para llegar a mipymes</w:t>
            </w:r>
          </w:p>
        </w:tc>
        <w:tc>
          <w:tcPr>
            <w:tcW w:w="3120" w:type="dxa"/>
          </w:tcPr>
          <w:p w14:paraId="4F353513" w14:textId="77777777" w:rsidR="00EB77EF" w:rsidRPr="00F5611F" w:rsidRDefault="00EB77EF" w:rsidP="00F5611F">
            <w:pPr>
              <w:spacing w:line="360" w:lineRule="auto"/>
              <w:jc w:val="both"/>
              <w:rPr>
                <w:rFonts w:ascii="Arial" w:hAnsi="Arial" w:cs="Arial"/>
              </w:rPr>
            </w:pPr>
            <w:hyperlink r:id="rId21" w:history="1">
              <w:r w:rsidRPr="00F5611F">
                <w:rPr>
                  <w:rStyle w:val="Hipervnculo"/>
                  <w:rFonts w:ascii="Arial" w:hAnsi="Arial" w:cs="Arial"/>
                </w:rPr>
                <w:t>El Financiero</w:t>
              </w:r>
            </w:hyperlink>
          </w:p>
        </w:tc>
      </w:tr>
      <w:tr w:rsidR="00EB77EF" w:rsidRPr="00F5611F" w14:paraId="5BD989F8" w14:textId="77777777">
        <w:tc>
          <w:tcPr>
            <w:tcW w:w="3120" w:type="dxa"/>
          </w:tcPr>
          <w:p w14:paraId="48223257" w14:textId="77777777" w:rsidR="00EB77EF" w:rsidRPr="00F5611F" w:rsidRDefault="00000000" w:rsidP="00F5611F">
            <w:pPr>
              <w:spacing w:line="360" w:lineRule="auto"/>
              <w:jc w:val="both"/>
              <w:rPr>
                <w:rFonts w:ascii="Arial" w:hAnsi="Arial" w:cs="Arial"/>
              </w:rPr>
            </w:pPr>
            <w:r w:rsidRPr="00F5611F">
              <w:rPr>
                <w:rFonts w:ascii="Arial" w:hAnsi="Arial" w:cs="Arial"/>
              </w:rPr>
              <w:t>2025</w:t>
            </w:r>
          </w:p>
        </w:tc>
        <w:tc>
          <w:tcPr>
            <w:tcW w:w="3120" w:type="dxa"/>
          </w:tcPr>
          <w:p w14:paraId="62F22199"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Nafin y Bancomext anuncian 120 mil millones de pesos para mipymes y Plan México, con programas para mujeres, exportadoras y micronegocios</w:t>
            </w:r>
          </w:p>
        </w:tc>
        <w:tc>
          <w:tcPr>
            <w:tcW w:w="3120" w:type="dxa"/>
          </w:tcPr>
          <w:p w14:paraId="7DFFDD4B" w14:textId="77777777" w:rsidR="00EB77EF" w:rsidRPr="00F5611F" w:rsidRDefault="00EB77EF" w:rsidP="00F5611F">
            <w:pPr>
              <w:spacing w:line="360" w:lineRule="auto"/>
              <w:jc w:val="both"/>
              <w:rPr>
                <w:rFonts w:ascii="Arial" w:hAnsi="Arial" w:cs="Arial"/>
              </w:rPr>
            </w:pPr>
            <w:hyperlink r:id="rId22" w:history="1">
              <w:r w:rsidRPr="00F5611F">
                <w:rPr>
                  <w:rStyle w:val="Hipervnculo"/>
                  <w:rFonts w:ascii="Arial" w:hAnsi="Arial" w:cs="Arial"/>
                </w:rPr>
                <w:t>Milenio</w:t>
              </w:r>
            </w:hyperlink>
          </w:p>
        </w:tc>
      </w:tr>
      <w:tr w:rsidR="00EB77EF" w:rsidRPr="00F5611F" w14:paraId="296AE1EE" w14:textId="77777777">
        <w:tc>
          <w:tcPr>
            <w:tcW w:w="3120" w:type="dxa"/>
          </w:tcPr>
          <w:p w14:paraId="438ED55F" w14:textId="77777777" w:rsidR="00EB77EF" w:rsidRPr="00F5611F" w:rsidRDefault="00000000" w:rsidP="00F5611F">
            <w:pPr>
              <w:spacing w:line="360" w:lineRule="auto"/>
              <w:jc w:val="both"/>
              <w:rPr>
                <w:rFonts w:ascii="Arial" w:hAnsi="Arial" w:cs="Arial"/>
              </w:rPr>
            </w:pPr>
            <w:r w:rsidRPr="00F5611F">
              <w:rPr>
                <w:rFonts w:ascii="Arial" w:hAnsi="Arial" w:cs="Arial"/>
              </w:rPr>
              <w:t>May 2025</w:t>
            </w:r>
          </w:p>
        </w:tc>
        <w:tc>
          <w:tcPr>
            <w:tcW w:w="3120" w:type="dxa"/>
          </w:tcPr>
          <w:p w14:paraId="599C750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Acuerdo Gobierno–ABM (88 Convención): +3.5% anual de mipymes con crédito; incluye garantías de banca de </w:t>
            </w:r>
            <w:r w:rsidRPr="00F5611F">
              <w:rPr>
                <w:rFonts w:ascii="Arial" w:hAnsi="Arial" w:cs="Arial"/>
                <w:lang w:val="es-MX"/>
              </w:rPr>
              <w:lastRenderedPageBreak/>
              <w:t>desarrollo, información financiera y contable y tribunales mercantiles</w:t>
            </w:r>
          </w:p>
        </w:tc>
        <w:tc>
          <w:tcPr>
            <w:tcW w:w="3120" w:type="dxa"/>
          </w:tcPr>
          <w:p w14:paraId="62426D60" w14:textId="77777777" w:rsidR="00EB77EF" w:rsidRPr="00F5611F" w:rsidRDefault="00EB77EF" w:rsidP="00F5611F">
            <w:pPr>
              <w:spacing w:line="360" w:lineRule="auto"/>
              <w:jc w:val="both"/>
              <w:rPr>
                <w:rFonts w:ascii="Arial" w:hAnsi="Arial" w:cs="Arial"/>
              </w:rPr>
            </w:pPr>
            <w:hyperlink r:id="rId23" w:history="1">
              <w:r w:rsidRPr="00F5611F">
                <w:rPr>
                  <w:rStyle w:val="Hipervnculo"/>
                  <w:rFonts w:ascii="Arial" w:hAnsi="Arial" w:cs="Arial"/>
                </w:rPr>
                <w:t>ABM</w:t>
              </w:r>
            </w:hyperlink>
            <w:r w:rsidR="00000000" w:rsidRPr="00F5611F">
              <w:rPr>
                <w:rFonts w:ascii="Arial" w:hAnsi="Arial" w:cs="Arial"/>
              </w:rPr>
              <w:t xml:space="preserve">, </w:t>
            </w:r>
            <w:hyperlink r:id="rId24" w:history="1">
              <w:proofErr w:type="spellStart"/>
              <w:r w:rsidRPr="00F5611F">
                <w:rPr>
                  <w:rStyle w:val="Hipervnculo"/>
                  <w:rFonts w:ascii="Arial" w:hAnsi="Arial" w:cs="Arial"/>
                </w:rPr>
                <w:t>Excélsior</w:t>
              </w:r>
              <w:proofErr w:type="spellEnd"/>
            </w:hyperlink>
          </w:p>
        </w:tc>
      </w:tr>
      <w:tr w:rsidR="00EB77EF" w:rsidRPr="00F5611F" w14:paraId="5F528B52" w14:textId="77777777">
        <w:tc>
          <w:tcPr>
            <w:tcW w:w="3120" w:type="dxa"/>
          </w:tcPr>
          <w:p w14:paraId="046A2A13" w14:textId="77777777" w:rsidR="00EB77EF" w:rsidRPr="00F5611F" w:rsidRDefault="00000000" w:rsidP="00F5611F">
            <w:pPr>
              <w:spacing w:line="360" w:lineRule="auto"/>
              <w:jc w:val="both"/>
              <w:rPr>
                <w:rFonts w:ascii="Arial" w:hAnsi="Arial" w:cs="Arial"/>
              </w:rPr>
            </w:pPr>
            <w:r w:rsidRPr="00F5611F">
              <w:rPr>
                <w:rFonts w:ascii="Arial" w:hAnsi="Arial" w:cs="Arial"/>
              </w:rPr>
              <w:t>May 2025</w:t>
            </w:r>
          </w:p>
        </w:tc>
        <w:tc>
          <w:tcPr>
            <w:tcW w:w="3120" w:type="dxa"/>
          </w:tcPr>
          <w:p w14:paraId="77DCE0BC"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Banorte reduce tasas de MujerPyME “en línea con Plan México”</w:t>
            </w:r>
          </w:p>
        </w:tc>
        <w:tc>
          <w:tcPr>
            <w:tcW w:w="3120" w:type="dxa"/>
          </w:tcPr>
          <w:p w14:paraId="6FA67139" w14:textId="77777777" w:rsidR="00EB77EF" w:rsidRPr="00F5611F" w:rsidRDefault="00EB77EF" w:rsidP="00F5611F">
            <w:pPr>
              <w:spacing w:line="360" w:lineRule="auto"/>
              <w:jc w:val="both"/>
              <w:rPr>
                <w:rFonts w:ascii="Arial" w:hAnsi="Arial" w:cs="Arial"/>
              </w:rPr>
            </w:pPr>
            <w:hyperlink r:id="rId25" w:history="1">
              <w:r w:rsidRPr="00F5611F">
                <w:rPr>
                  <w:rStyle w:val="Hipervnculo"/>
                  <w:rFonts w:ascii="Arial" w:hAnsi="Arial" w:cs="Arial"/>
                </w:rPr>
                <w:t>La Razón</w:t>
              </w:r>
            </w:hyperlink>
          </w:p>
        </w:tc>
      </w:tr>
      <w:tr w:rsidR="00EB77EF" w:rsidRPr="00F5611F" w14:paraId="21400D22" w14:textId="77777777">
        <w:tc>
          <w:tcPr>
            <w:tcW w:w="3120" w:type="dxa"/>
          </w:tcPr>
          <w:p w14:paraId="7CB7AD1D"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13 </w:t>
            </w:r>
            <w:proofErr w:type="spellStart"/>
            <w:r w:rsidRPr="00F5611F">
              <w:rPr>
                <w:rFonts w:ascii="Arial" w:hAnsi="Arial" w:cs="Arial"/>
              </w:rPr>
              <w:t>ene</w:t>
            </w:r>
            <w:proofErr w:type="spellEnd"/>
            <w:r w:rsidRPr="00F5611F">
              <w:rPr>
                <w:rFonts w:ascii="Arial" w:hAnsi="Arial" w:cs="Arial"/>
              </w:rPr>
              <w:t xml:space="preserve"> 2025</w:t>
            </w:r>
          </w:p>
        </w:tc>
        <w:tc>
          <w:tcPr>
            <w:tcW w:w="3120" w:type="dxa"/>
          </w:tcPr>
          <w:p w14:paraId="2D793A0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Presentación de Plan México; la ABM declara 1.3 billones de pesos disponibles para prestar</w:t>
            </w:r>
          </w:p>
        </w:tc>
        <w:tc>
          <w:tcPr>
            <w:tcW w:w="3120" w:type="dxa"/>
          </w:tcPr>
          <w:p w14:paraId="1EB502FB" w14:textId="77777777" w:rsidR="00EB77EF" w:rsidRPr="00F5611F" w:rsidRDefault="00EB77EF" w:rsidP="00F5611F">
            <w:pPr>
              <w:spacing w:line="360" w:lineRule="auto"/>
              <w:jc w:val="both"/>
              <w:rPr>
                <w:rFonts w:ascii="Arial" w:hAnsi="Arial" w:cs="Arial"/>
              </w:rPr>
            </w:pPr>
            <w:hyperlink r:id="rId26" w:history="1">
              <w:r w:rsidRPr="00F5611F">
                <w:rPr>
                  <w:rStyle w:val="Hipervnculo"/>
                  <w:rFonts w:ascii="Arial" w:hAnsi="Arial" w:cs="Arial"/>
                </w:rPr>
                <w:t xml:space="preserve">ABM, </w:t>
              </w:r>
              <w:proofErr w:type="spellStart"/>
              <w:r w:rsidRPr="00F5611F">
                <w:rPr>
                  <w:rStyle w:val="Hipervnculo"/>
                  <w:rFonts w:ascii="Arial" w:hAnsi="Arial" w:cs="Arial"/>
                </w:rPr>
                <w:t>síntesis</w:t>
              </w:r>
              <w:proofErr w:type="spellEnd"/>
            </w:hyperlink>
          </w:p>
        </w:tc>
      </w:tr>
    </w:tbl>
    <w:p w14:paraId="3144A2CD"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Un aviso para quien siga el tema en la prensa: algunos medios reportaron la meta de 45% del PIB como crédito a pymes, pero las declaraciones textuales la refieren al crédito total de la banca. Son metas distintas y conviene no mezclarlas con la de 30% de pymes.</w:t>
      </w:r>
    </w:p>
    <w:p w14:paraId="312656F5" w14:textId="77777777" w:rsidR="00EB77EF" w:rsidRPr="00F5611F" w:rsidRDefault="00000000" w:rsidP="00F5611F">
      <w:pPr>
        <w:pStyle w:val="Ttulo2"/>
        <w:spacing w:line="360" w:lineRule="auto"/>
        <w:jc w:val="both"/>
        <w:rPr>
          <w:rFonts w:ascii="Arial" w:hAnsi="Arial" w:cs="Arial"/>
          <w:sz w:val="22"/>
          <w:lang w:val="es-MX"/>
        </w:rPr>
      </w:pPr>
      <w:r w:rsidRPr="00F5611F">
        <w:rPr>
          <w:rFonts w:ascii="Arial" w:hAnsi="Arial" w:cs="Arial"/>
          <w:sz w:val="22"/>
          <w:lang w:val="es-MX"/>
        </w:rPr>
        <w:t>5. Donde se cruzan los tres temas</w:t>
      </w:r>
    </w:p>
    <w:p w14:paraId="26E2CF98"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Al poner lado a lado la teoría, la evidencia y el plan aparece un patrón claro. Plan México responde bien a las barreras de oferta que la literatura documenta —garantías, información y cumplimiento de contratos—, pero deja más débiles la demanda, la medición y la evaluación. La tabla recorre cada barrera con su evidencia, lo que el plan hace y lo que queda pendiente.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EB77EF" w:rsidRPr="00F5611F" w14:paraId="300AB00A" w14:textId="77777777">
        <w:trPr>
          <w:tblHeader/>
        </w:trPr>
        <w:tc>
          <w:tcPr>
            <w:tcW w:w="2340" w:type="dxa"/>
            <w:shd w:val="clear" w:color="auto" w:fill="F2F2F2"/>
          </w:tcPr>
          <w:p w14:paraId="6642C4D8"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Barrera </w:t>
            </w:r>
            <w:proofErr w:type="spellStart"/>
            <w:r w:rsidRPr="00F5611F">
              <w:rPr>
                <w:rFonts w:ascii="Arial" w:hAnsi="Arial" w:cs="Arial"/>
              </w:rPr>
              <w:t>en</w:t>
            </w:r>
            <w:proofErr w:type="spellEnd"/>
            <w:r w:rsidRPr="00F5611F">
              <w:rPr>
                <w:rFonts w:ascii="Arial" w:hAnsi="Arial" w:cs="Arial"/>
              </w:rPr>
              <w:t xml:space="preserve"> la </w:t>
            </w:r>
            <w:proofErr w:type="spellStart"/>
            <w:r w:rsidRPr="00F5611F">
              <w:rPr>
                <w:rFonts w:ascii="Arial" w:hAnsi="Arial" w:cs="Arial"/>
              </w:rPr>
              <w:t>literatura</w:t>
            </w:r>
            <w:proofErr w:type="spellEnd"/>
          </w:p>
        </w:tc>
        <w:tc>
          <w:tcPr>
            <w:tcW w:w="2340" w:type="dxa"/>
            <w:shd w:val="clear" w:color="auto" w:fill="F2F2F2"/>
          </w:tcPr>
          <w:p w14:paraId="2A868F60"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Evidencia</w:t>
            </w:r>
            <w:proofErr w:type="spellEnd"/>
          </w:p>
        </w:tc>
        <w:tc>
          <w:tcPr>
            <w:tcW w:w="2340" w:type="dxa"/>
            <w:shd w:val="clear" w:color="auto" w:fill="F2F2F2"/>
          </w:tcPr>
          <w:p w14:paraId="073727DA" w14:textId="77777777" w:rsidR="00EB77EF" w:rsidRPr="00F5611F" w:rsidRDefault="00000000" w:rsidP="00F5611F">
            <w:pPr>
              <w:spacing w:line="360" w:lineRule="auto"/>
              <w:jc w:val="both"/>
              <w:rPr>
                <w:rFonts w:ascii="Arial" w:hAnsi="Arial" w:cs="Arial"/>
              </w:rPr>
            </w:pPr>
            <w:r w:rsidRPr="00F5611F">
              <w:rPr>
                <w:rFonts w:ascii="Arial" w:hAnsi="Arial" w:cs="Arial"/>
              </w:rPr>
              <w:t>Respuesta de Plan México</w:t>
            </w:r>
          </w:p>
        </w:tc>
        <w:tc>
          <w:tcPr>
            <w:tcW w:w="2340" w:type="dxa"/>
            <w:shd w:val="clear" w:color="auto" w:fill="F2F2F2"/>
          </w:tcPr>
          <w:p w14:paraId="6A007EBB"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Brecha </w:t>
            </w:r>
            <w:proofErr w:type="spellStart"/>
            <w:r w:rsidRPr="00F5611F">
              <w:rPr>
                <w:rFonts w:ascii="Arial" w:hAnsi="Arial" w:cs="Arial"/>
              </w:rPr>
              <w:t>pendiente</w:t>
            </w:r>
            <w:proofErr w:type="spellEnd"/>
          </w:p>
        </w:tc>
      </w:tr>
      <w:tr w:rsidR="00EB77EF" w:rsidRPr="00341CD7" w14:paraId="5A45835C" w14:textId="77777777">
        <w:tc>
          <w:tcPr>
            <w:tcW w:w="2340" w:type="dxa"/>
          </w:tcPr>
          <w:p w14:paraId="25103CE3"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Información asimétrica y falta de historial</w:t>
            </w:r>
          </w:p>
        </w:tc>
        <w:tc>
          <w:tcPr>
            <w:tcW w:w="2340" w:type="dxa"/>
          </w:tcPr>
          <w:p w14:paraId="7AFC8E5A"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18.4% de rechazos por no tener historial (ENAFIN 2024); Stiglitz y Weiss (1981)</w:t>
            </w:r>
          </w:p>
        </w:tc>
        <w:tc>
          <w:tcPr>
            <w:tcW w:w="2340" w:type="dxa"/>
          </w:tcPr>
          <w:p w14:paraId="45EE143F"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Eje de información financiera y contable en el acuerdo con la ABM</w:t>
            </w:r>
          </w:p>
        </w:tc>
        <w:tc>
          <w:tcPr>
            <w:tcW w:w="2340" w:type="dxa"/>
          </w:tcPr>
          <w:p w14:paraId="598B90F9"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Sin detalle público de cómo se generará historial para microempresas</w:t>
            </w:r>
          </w:p>
        </w:tc>
      </w:tr>
      <w:tr w:rsidR="00EB77EF" w:rsidRPr="00341CD7" w14:paraId="197B9D0C" w14:textId="77777777">
        <w:tc>
          <w:tcPr>
            <w:tcW w:w="2340" w:type="dxa"/>
          </w:tcPr>
          <w:p w14:paraId="37CD57A2"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Garantías</w:t>
            </w:r>
            <w:proofErr w:type="spellEnd"/>
            <w:r w:rsidRPr="00F5611F">
              <w:rPr>
                <w:rFonts w:ascii="Arial" w:hAnsi="Arial" w:cs="Arial"/>
              </w:rPr>
              <w:t xml:space="preserve"> </w:t>
            </w:r>
            <w:proofErr w:type="spellStart"/>
            <w:r w:rsidRPr="00F5611F">
              <w:rPr>
                <w:rFonts w:ascii="Arial" w:hAnsi="Arial" w:cs="Arial"/>
              </w:rPr>
              <w:t>insuficientes</w:t>
            </w:r>
            <w:proofErr w:type="spellEnd"/>
          </w:p>
        </w:tc>
        <w:tc>
          <w:tcPr>
            <w:tcW w:w="2340" w:type="dxa"/>
          </w:tcPr>
          <w:p w14:paraId="5BA7BB51"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21.6% de </w:t>
            </w:r>
            <w:proofErr w:type="spellStart"/>
            <w:r w:rsidRPr="00F5611F">
              <w:rPr>
                <w:rFonts w:ascii="Arial" w:hAnsi="Arial" w:cs="Arial"/>
              </w:rPr>
              <w:t>rechazos</w:t>
            </w:r>
            <w:proofErr w:type="spellEnd"/>
            <w:r w:rsidRPr="00F5611F">
              <w:rPr>
                <w:rFonts w:ascii="Arial" w:hAnsi="Arial" w:cs="Arial"/>
              </w:rPr>
              <w:t xml:space="preserve"> (ENAFIN 2024)</w:t>
            </w:r>
          </w:p>
        </w:tc>
        <w:tc>
          <w:tcPr>
            <w:tcW w:w="2340" w:type="dxa"/>
          </w:tcPr>
          <w:p w14:paraId="4CC9E79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Garantías de banca de desarrollo; fondeo a SOFOMES</w:t>
            </w:r>
          </w:p>
        </w:tc>
        <w:tc>
          <w:tcPr>
            <w:tcW w:w="2340" w:type="dxa"/>
          </w:tcPr>
          <w:p w14:paraId="78C78664"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Tregear (2020): el apoyo de fomento no </w:t>
            </w:r>
            <w:r w:rsidRPr="00F5611F">
              <w:rPr>
                <w:rFonts w:ascii="Arial" w:hAnsi="Arial" w:cs="Arial"/>
                <w:lang w:val="es-MX"/>
              </w:rPr>
              <w:lastRenderedPageBreak/>
              <w:t>movió la cuota pyme de la cartera (15%)</w:t>
            </w:r>
          </w:p>
        </w:tc>
      </w:tr>
      <w:tr w:rsidR="00EB77EF" w:rsidRPr="00341CD7" w14:paraId="55416111" w14:textId="77777777">
        <w:tc>
          <w:tcPr>
            <w:tcW w:w="2340" w:type="dxa"/>
          </w:tcPr>
          <w:p w14:paraId="36448C6F"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lastRenderedPageBreak/>
              <w:t>Tamaño y edad de la empresa</w:t>
            </w:r>
          </w:p>
        </w:tc>
        <w:tc>
          <w:tcPr>
            <w:tcW w:w="2340" w:type="dxa"/>
          </w:tcPr>
          <w:p w14:paraId="7ECC4534"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Ser pequeña reduce 30–41% la probabilidad de crédito (Jiménez Rico et al., 2023)</w:t>
            </w:r>
          </w:p>
        </w:tc>
        <w:tc>
          <w:tcPr>
            <w:tcW w:w="2340" w:type="dxa"/>
          </w:tcPr>
          <w:p w14:paraId="7D87D5A5"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Meta </w:t>
            </w:r>
            <w:proofErr w:type="spellStart"/>
            <w:r w:rsidRPr="00F5611F">
              <w:rPr>
                <w:rFonts w:ascii="Arial" w:hAnsi="Arial" w:cs="Arial"/>
              </w:rPr>
              <w:t>agregada</w:t>
            </w:r>
            <w:proofErr w:type="spellEnd"/>
            <w:r w:rsidRPr="00F5611F">
              <w:rPr>
                <w:rFonts w:ascii="Arial" w:hAnsi="Arial" w:cs="Arial"/>
              </w:rPr>
              <w:t xml:space="preserve"> de 30%</w:t>
            </w:r>
          </w:p>
        </w:tc>
        <w:tc>
          <w:tcPr>
            <w:tcW w:w="2340" w:type="dxa"/>
          </w:tcPr>
          <w:p w14:paraId="5F1C2196"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meta no distingue micro, pequeña y mediana, que parten de niveles muy distintos</w:t>
            </w:r>
          </w:p>
        </w:tc>
      </w:tr>
      <w:tr w:rsidR="00EB77EF" w:rsidRPr="00341CD7" w14:paraId="03378F0D" w14:textId="77777777">
        <w:tc>
          <w:tcPr>
            <w:tcW w:w="2340" w:type="dxa"/>
          </w:tcPr>
          <w:p w14:paraId="4835A064"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Mercado concentrado y costo del crédito</w:t>
            </w:r>
          </w:p>
        </w:tc>
        <w:tc>
          <w:tcPr>
            <w:tcW w:w="2340" w:type="dxa"/>
          </w:tcPr>
          <w:p w14:paraId="4C5706A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Tasas: 62% de menciones (ENAFIN 2021); oligopolio (Tregear, 2020)</w:t>
            </w:r>
          </w:p>
        </w:tc>
        <w:tc>
          <w:tcPr>
            <w:tcW w:w="2340" w:type="dxa"/>
          </w:tcPr>
          <w:p w14:paraId="41A704D7"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Compromiso voluntario de la banca; programas de tasa preferencial</w:t>
            </w:r>
          </w:p>
        </w:tc>
        <w:tc>
          <w:tcPr>
            <w:tcW w:w="2340" w:type="dxa"/>
          </w:tcPr>
          <w:p w14:paraId="3F719395"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No hay medidas de competencia ni metas de costo del crédito</w:t>
            </w:r>
          </w:p>
        </w:tc>
      </w:tr>
      <w:tr w:rsidR="00EB77EF" w:rsidRPr="00341CD7" w14:paraId="41C464D4" w14:textId="77777777">
        <w:tc>
          <w:tcPr>
            <w:tcW w:w="2340" w:type="dxa"/>
          </w:tcPr>
          <w:p w14:paraId="0577A9FC"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rPr>
              <w:t>Autoexclusión</w:t>
            </w:r>
            <w:proofErr w:type="spellEnd"/>
          </w:p>
        </w:tc>
        <w:tc>
          <w:tcPr>
            <w:tcW w:w="2340" w:type="dxa"/>
          </w:tcPr>
          <w:p w14:paraId="5AC0EE3B"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 xml:space="preserve">50% nunca ha solicitado crédito (ENAFIN 2024); </w:t>
            </w:r>
            <w:r w:rsidRPr="00F5611F">
              <w:rPr>
                <w:rFonts w:ascii="Arial" w:hAnsi="Arial" w:cs="Arial"/>
                <w:i/>
                <w:lang w:val="es-MX"/>
              </w:rPr>
              <w:t>pecking order</w:t>
            </w:r>
          </w:p>
        </w:tc>
        <w:tc>
          <w:tcPr>
            <w:tcW w:w="2340" w:type="dxa"/>
          </w:tcPr>
          <w:p w14:paraId="36803B6D"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Poca </w:t>
            </w:r>
            <w:proofErr w:type="spellStart"/>
            <w:r w:rsidRPr="00F5611F">
              <w:rPr>
                <w:rFonts w:ascii="Arial" w:hAnsi="Arial" w:cs="Arial"/>
              </w:rPr>
              <w:t>atención</w:t>
            </w:r>
            <w:proofErr w:type="spellEnd"/>
            <w:r w:rsidRPr="00F5611F">
              <w:rPr>
                <w:rFonts w:ascii="Arial" w:hAnsi="Arial" w:cs="Arial"/>
              </w:rPr>
              <w:t xml:space="preserve"> </w:t>
            </w:r>
            <w:proofErr w:type="spellStart"/>
            <w:r w:rsidRPr="00F5611F">
              <w:rPr>
                <w:rFonts w:ascii="Arial" w:hAnsi="Arial" w:cs="Arial"/>
              </w:rPr>
              <w:t>explícita</w:t>
            </w:r>
            <w:proofErr w:type="spellEnd"/>
          </w:p>
        </w:tc>
        <w:tc>
          <w:tcPr>
            <w:tcW w:w="2340" w:type="dxa"/>
          </w:tcPr>
          <w:p w14:paraId="7074894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Faltan educación financiera y acompañamiento, que la propia literatura recomienda</w:t>
            </w:r>
          </w:p>
        </w:tc>
      </w:tr>
      <w:tr w:rsidR="00EB77EF" w:rsidRPr="00341CD7" w14:paraId="6345D5A0" w14:textId="77777777">
        <w:tc>
          <w:tcPr>
            <w:tcW w:w="2340" w:type="dxa"/>
          </w:tcPr>
          <w:p w14:paraId="265CFDA5"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Confianza y </w:t>
            </w:r>
            <w:proofErr w:type="spellStart"/>
            <w:r w:rsidRPr="00F5611F">
              <w:rPr>
                <w:rFonts w:ascii="Arial" w:hAnsi="Arial" w:cs="Arial"/>
              </w:rPr>
              <w:t>protección</w:t>
            </w:r>
            <w:proofErr w:type="spellEnd"/>
          </w:p>
        </w:tc>
        <w:tc>
          <w:tcPr>
            <w:tcW w:w="2340" w:type="dxa"/>
          </w:tcPr>
          <w:p w14:paraId="587B7A9B"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14.9% de empresas sufrió problemas con servicios financieros; 15.2% desconfía de fintech (ENAFIN 2024)</w:t>
            </w:r>
          </w:p>
        </w:tc>
        <w:tc>
          <w:tcPr>
            <w:tcW w:w="2340" w:type="dxa"/>
          </w:tcPr>
          <w:p w14:paraId="141B7A15"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Impulso a pagos digitales (CoDi/DiMo, “Crece tu Mipyme”)</w:t>
            </w:r>
          </w:p>
        </w:tc>
        <w:tc>
          <w:tcPr>
            <w:tcW w:w="2340" w:type="dxa"/>
          </w:tcPr>
          <w:p w14:paraId="7D272F13"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La evidencia REMEF (2025) indica que la tecnología sin confianza no se adopta</w:t>
            </w:r>
          </w:p>
        </w:tc>
      </w:tr>
      <w:tr w:rsidR="00EB77EF" w:rsidRPr="00341CD7" w14:paraId="229FCD71" w14:textId="77777777">
        <w:tc>
          <w:tcPr>
            <w:tcW w:w="2340" w:type="dxa"/>
          </w:tcPr>
          <w:p w14:paraId="0921405B" w14:textId="77777777" w:rsidR="00EB77EF" w:rsidRPr="00F5611F" w:rsidRDefault="00000000" w:rsidP="00F5611F">
            <w:pPr>
              <w:spacing w:line="360" w:lineRule="auto"/>
              <w:jc w:val="both"/>
              <w:rPr>
                <w:rFonts w:ascii="Arial" w:hAnsi="Arial" w:cs="Arial"/>
              </w:rPr>
            </w:pPr>
            <w:r w:rsidRPr="00F5611F">
              <w:rPr>
                <w:rFonts w:ascii="Arial" w:hAnsi="Arial" w:cs="Arial"/>
              </w:rPr>
              <w:t xml:space="preserve">Brecha de </w:t>
            </w:r>
            <w:proofErr w:type="spellStart"/>
            <w:r w:rsidRPr="00F5611F">
              <w:rPr>
                <w:rFonts w:ascii="Arial" w:hAnsi="Arial" w:cs="Arial"/>
              </w:rPr>
              <w:t>género</w:t>
            </w:r>
            <w:proofErr w:type="spellEnd"/>
          </w:p>
        </w:tc>
        <w:tc>
          <w:tcPr>
            <w:tcW w:w="2340" w:type="dxa"/>
          </w:tcPr>
          <w:p w14:paraId="5BAEA5BE"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42.3% vs. 47.4% con financiamiento en empresas de dueñas y dueños (ENAFIN 2024)</w:t>
            </w:r>
          </w:p>
        </w:tc>
        <w:tc>
          <w:tcPr>
            <w:tcW w:w="2340" w:type="dxa"/>
          </w:tcPr>
          <w:p w14:paraId="56195D30"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Programas Nafin para empresarias; MujerPyME</w:t>
            </w:r>
          </w:p>
        </w:tc>
        <w:tc>
          <w:tcPr>
            <w:tcW w:w="2340" w:type="dxa"/>
          </w:tcPr>
          <w:p w14:paraId="2618DB3F" w14:textId="77777777" w:rsidR="00EB77EF" w:rsidRPr="00F5611F" w:rsidRDefault="00000000" w:rsidP="00F5611F">
            <w:pPr>
              <w:spacing w:line="360" w:lineRule="auto"/>
              <w:jc w:val="both"/>
              <w:rPr>
                <w:rFonts w:ascii="Arial" w:hAnsi="Arial" w:cs="Arial"/>
                <w:lang w:val="es-MX"/>
              </w:rPr>
            </w:pPr>
            <w:r w:rsidRPr="00F5611F">
              <w:rPr>
                <w:rFonts w:ascii="Arial" w:hAnsi="Arial" w:cs="Arial"/>
                <w:lang w:val="es-MX"/>
              </w:rPr>
              <w:t>Sin meta desagregada por sexo</w:t>
            </w:r>
          </w:p>
        </w:tc>
      </w:tr>
    </w:tbl>
    <w:p w14:paraId="42B507E1" w14:textId="77777777" w:rsidR="00341CD7" w:rsidRDefault="00341CD7" w:rsidP="00F5611F">
      <w:pPr>
        <w:spacing w:line="360" w:lineRule="auto"/>
        <w:jc w:val="both"/>
        <w:rPr>
          <w:rFonts w:ascii="Arial" w:hAnsi="Arial" w:cs="Arial"/>
          <w:b/>
          <w:lang w:val="es-MX"/>
        </w:rPr>
      </w:pPr>
    </w:p>
    <w:p w14:paraId="67991B73" w14:textId="081FB024" w:rsidR="00EB77EF" w:rsidRPr="00F5611F" w:rsidRDefault="00000000" w:rsidP="00F5611F">
      <w:pPr>
        <w:spacing w:line="360" w:lineRule="auto"/>
        <w:jc w:val="both"/>
        <w:rPr>
          <w:rFonts w:ascii="Arial" w:hAnsi="Arial" w:cs="Arial"/>
          <w:lang w:val="es-MX"/>
        </w:rPr>
      </w:pPr>
      <w:r w:rsidRPr="00F5611F">
        <w:rPr>
          <w:rFonts w:ascii="Arial" w:hAnsi="Arial" w:cs="Arial"/>
          <w:b/>
          <w:lang w:val="es-MX"/>
        </w:rPr>
        <w:lastRenderedPageBreak/>
        <w:t>El problema de la medición.</w:t>
      </w:r>
      <w:r w:rsidRPr="00F5611F">
        <w:rPr>
          <w:rFonts w:ascii="Arial" w:hAnsi="Arial" w:cs="Arial"/>
          <w:lang w:val="es-MX"/>
        </w:rPr>
        <w:t xml:space="preserve"> La meta de 30% no define el denominador. Todo depende de a quién se cuente: si se toman todas las mipymes, solo 4.4% tiene crédito bancario; si se toma el universo de la ENAFIN (empresas de seis o más personas en ciudades grandes), 45.9% ha tenido financiamiento alguna vez. Que la ABM se dijera cerca de la meta al primer año hace pensar en una definición amplia, con la que el indicador podría cumplirse sin que cambie mucho la vida financiera de la microempresa.</w:t>
      </w:r>
    </w:p>
    <w:p w14:paraId="77BEFBD7" w14:textId="77777777" w:rsidR="00EB77EF" w:rsidRPr="00F5611F" w:rsidRDefault="00000000" w:rsidP="00F5611F">
      <w:pPr>
        <w:spacing w:line="360" w:lineRule="auto"/>
        <w:jc w:val="both"/>
        <w:rPr>
          <w:rFonts w:ascii="Arial" w:hAnsi="Arial" w:cs="Arial"/>
          <w:lang w:val="es-MX"/>
        </w:rPr>
      </w:pPr>
      <w:r w:rsidRPr="00F5611F">
        <w:rPr>
          <w:rFonts w:ascii="Arial" w:hAnsi="Arial" w:cs="Arial"/>
          <w:b/>
          <w:lang w:val="es-MX"/>
        </w:rPr>
        <w:t>Riesgo de repetir la historia.</w:t>
      </w:r>
      <w:r w:rsidRPr="00F5611F">
        <w:rPr>
          <w:rFonts w:ascii="Arial" w:hAnsi="Arial" w:cs="Arial"/>
          <w:lang w:val="es-MX"/>
        </w:rPr>
        <w:t xml:space="preserve"> Esto conecta con el último de los cinco hilos de la sección 3. Tras la Reforma Financiera de 2014, CEPAL describió una banca de fomento con más recursos, más que con prácticas innovadoras probadas (</w:t>
      </w:r>
      <w:r w:rsidR="00EB77EF">
        <w:fldChar w:fldCharType="begin"/>
      </w:r>
      <w:r w:rsidR="00EB77EF" w:rsidRPr="00341CD7">
        <w:rPr>
          <w:lang w:val="es-MX"/>
        </w:rPr>
        <w:instrText>HYPERLINK "https://www.cepal.org/pt-br/node/39690"</w:instrText>
      </w:r>
      <w:r w:rsidR="00EB77EF">
        <w:fldChar w:fldCharType="separate"/>
      </w:r>
      <w:r w:rsidR="00EB77EF" w:rsidRPr="00F5611F">
        <w:rPr>
          <w:rStyle w:val="Hipervnculo"/>
          <w:rFonts w:ascii="Arial" w:hAnsi="Arial" w:cs="Arial"/>
          <w:lang w:val="es-MX"/>
        </w:rPr>
        <w:t>Lecuona, 2016</w:t>
      </w:r>
      <w:r w:rsidR="00EB77EF">
        <w:fldChar w:fldCharType="end"/>
      </w:r>
      <w:r w:rsidRPr="00F5611F">
        <w:rPr>
          <w:rFonts w:ascii="Arial" w:hAnsi="Arial" w:cs="Arial"/>
          <w:lang w:val="es-MX"/>
        </w:rPr>
        <w:t>). Los 120 mil millones de Nafin-Bancomext y el fondeo a SOFOMES siguen esa misma lógica; sin una evaluación de impacto, nada asegura un resultado distinto.</w:t>
      </w:r>
    </w:p>
    <w:p w14:paraId="74D06AFA" w14:textId="77777777" w:rsidR="00EB77EF" w:rsidRDefault="00000000" w:rsidP="00F5611F">
      <w:pPr>
        <w:spacing w:line="360" w:lineRule="auto"/>
        <w:jc w:val="both"/>
        <w:rPr>
          <w:rFonts w:ascii="Arial" w:hAnsi="Arial" w:cs="Arial"/>
          <w:lang w:val="es-MX"/>
        </w:rPr>
      </w:pPr>
      <w:r w:rsidRPr="00F5611F">
        <w:rPr>
          <w:rFonts w:ascii="Arial" w:hAnsi="Arial" w:cs="Arial"/>
          <w:b/>
          <w:lang w:val="es-MX"/>
        </w:rPr>
        <w:t>Lo que falta estudiar.</w:t>
      </w:r>
      <w:r w:rsidRPr="00F5611F">
        <w:rPr>
          <w:rFonts w:ascii="Arial" w:hAnsi="Arial" w:cs="Arial"/>
          <w:lang w:val="es-MX"/>
        </w:rPr>
        <w:t xml:space="preserve"> La propia academia tiene una deuda con el tema: casi no hay artículos arbitrados que evalúen Plan México, y varios estudios empíricos todavía trabajan con la Enterprise Survey de 2010. La ENAFIN 2024 puede servir como línea base para saber si, al cierre del sexenio, la relación de las pymes con el crédito empezó por fin a cambiar.</w:t>
      </w:r>
    </w:p>
    <w:p w14:paraId="122D439E" w14:textId="77777777" w:rsidR="00341CD7" w:rsidRPr="00341CD7" w:rsidRDefault="00341CD7" w:rsidP="00341CD7">
      <w:pPr>
        <w:pStyle w:val="Ttulo2"/>
        <w:rPr>
          <w:lang w:val="es-MX"/>
        </w:rPr>
      </w:pPr>
      <w:r w:rsidRPr="00341CD7">
        <w:rPr>
          <w:lang w:val="es-MX"/>
        </w:rPr>
        <w:t>Anexo A. Plan México</w:t>
      </w:r>
    </w:p>
    <w:p w14:paraId="6D87C1C3" w14:textId="77777777" w:rsidR="00341CD7" w:rsidRDefault="00341CD7" w:rsidP="00341CD7">
      <w:pPr>
        <w:pStyle w:val="NormalWeb"/>
      </w:pPr>
      <w:r>
        <w:t>Plan México se presentó el 13 de enero de 2025 y en abril de ese año quedó integrado al Plan Nacional de Desarrollo 2025–2030. Busca fortalecer la industria nacional, aumentar el contenido mexicano en las exportaciones y llevar a México a estar entre las diez economías más grandes del mundo. Para este trabajo, su punto más importante es la meta 11: que 30% de las micro, pequeñas y medianas empresas tenga acceso a financiamiento en 2030.</w:t>
      </w:r>
    </w:p>
    <w:p w14:paraId="0C214CFB" w14:textId="77777777" w:rsidR="00341CD7" w:rsidRPr="0047509B" w:rsidRDefault="00341CD7" w:rsidP="00341CD7">
      <w:pPr>
        <w:numPr>
          <w:ilvl w:val="0"/>
          <w:numId w:val="4"/>
        </w:numPr>
        <w:spacing w:before="100" w:beforeAutospacing="1" w:after="100" w:afterAutospacing="1" w:line="240" w:lineRule="auto"/>
        <w:rPr>
          <w:lang w:val="es-MX"/>
        </w:rPr>
      </w:pPr>
      <w:r>
        <w:fldChar w:fldCharType="begin"/>
      </w:r>
      <w:r w:rsidRPr="00341CD7">
        <w:rPr>
          <w:lang w:val="es-MX"/>
        </w:rPr>
        <w:instrText>HYPERLINK "https://www.gob.mx/presidencia/documentos/plan-nacional-de-desarrollo-2025-2030-391771" \t "_blank"</w:instrText>
      </w:r>
      <w:r>
        <w:fldChar w:fldCharType="separate"/>
      </w:r>
      <w:r w:rsidRPr="00341CD7">
        <w:rPr>
          <w:rStyle w:val="Hipervnculo"/>
          <w:lang w:val="es-MX"/>
        </w:rPr>
        <w:t>Plan Nacional de Desarrollo 2025–2030</w:t>
      </w:r>
      <w:r>
        <w:fldChar w:fldCharType="end"/>
      </w:r>
      <w:r w:rsidRPr="00341CD7">
        <w:rPr>
          <w:lang w:val="es-MX"/>
        </w:rPr>
        <w:t xml:space="preserve">, Presidencia de la República. </w:t>
      </w:r>
      <w:r w:rsidRPr="0047509B">
        <w:rPr>
          <w:lang w:val="es-MX"/>
        </w:rPr>
        <w:t>Es el documento rector del sexenio y es donde Plan México aparece como estrategia de industrialización.</w:t>
      </w:r>
    </w:p>
    <w:p w14:paraId="7492E550" w14:textId="77777777" w:rsidR="00341CD7" w:rsidRDefault="00341CD7" w:rsidP="00341CD7">
      <w:pPr>
        <w:numPr>
          <w:ilvl w:val="0"/>
          <w:numId w:val="4"/>
        </w:numPr>
        <w:spacing w:before="100" w:beforeAutospacing="1" w:after="100" w:afterAutospacing="1" w:line="240" w:lineRule="auto"/>
      </w:pPr>
      <w:r>
        <w:fldChar w:fldCharType="begin"/>
      </w:r>
      <w:r w:rsidRPr="0047509B">
        <w:rPr>
          <w:lang w:val="es-MX"/>
        </w:rPr>
        <w:instrText>HYPERLINK "https://www.dof.gob.mx/nota_detalle.php?codigo=5755162&amp;fecha=15/04/2025" \t "_blank"</w:instrText>
      </w:r>
      <w:r>
        <w:fldChar w:fldCharType="separate"/>
      </w:r>
      <w:r w:rsidRPr="0047509B">
        <w:rPr>
          <w:rStyle w:val="Hipervnculo"/>
          <w:lang w:val="es-MX"/>
        </w:rPr>
        <w:t>Publicación del PND en el Diario Oficial de la Federación</w:t>
      </w:r>
      <w:r>
        <w:fldChar w:fldCharType="end"/>
      </w:r>
      <w:r w:rsidRPr="0047509B">
        <w:rPr>
          <w:lang w:val="es-MX"/>
        </w:rPr>
        <w:t xml:space="preserve">, 15 de abril de 2025. </w:t>
      </w:r>
      <w:r>
        <w:t xml:space="preserve">Es la </w:t>
      </w:r>
      <w:proofErr w:type="spellStart"/>
      <w:r>
        <w:t>versión</w:t>
      </w:r>
      <w:proofErr w:type="spellEnd"/>
      <w:r>
        <w:t xml:space="preserve"> con </w:t>
      </w:r>
      <w:proofErr w:type="spellStart"/>
      <w:r>
        <w:t>validez</w:t>
      </w:r>
      <w:proofErr w:type="spellEnd"/>
      <w:r>
        <w:t xml:space="preserve"> </w:t>
      </w:r>
      <w:proofErr w:type="spellStart"/>
      <w:r>
        <w:t>oficial</w:t>
      </w:r>
      <w:proofErr w:type="spellEnd"/>
      <w:r>
        <w:t>.</w:t>
      </w:r>
    </w:p>
    <w:p w14:paraId="42742DBE" w14:textId="77777777" w:rsidR="00341CD7" w:rsidRPr="0047509B" w:rsidRDefault="00341CD7" w:rsidP="00341CD7">
      <w:pPr>
        <w:numPr>
          <w:ilvl w:val="0"/>
          <w:numId w:val="4"/>
        </w:numPr>
        <w:spacing w:before="100" w:beforeAutospacing="1" w:after="100" w:afterAutospacing="1" w:line="240" w:lineRule="auto"/>
        <w:rPr>
          <w:lang w:val="es-MX"/>
        </w:rPr>
      </w:pPr>
      <w:r>
        <w:fldChar w:fldCharType="begin"/>
      </w:r>
      <w:r w:rsidRPr="0047509B">
        <w:rPr>
          <w:lang w:val="es-MX"/>
        </w:rPr>
        <w:instrText>HYPERLINK "https://dgutyp.sep.gob.mx/Estructura/Normatividad/Plan_Mexico_PB.pdf" \t "_blank"</w:instrText>
      </w:r>
      <w:r>
        <w:fldChar w:fldCharType="separate"/>
      </w:r>
      <w:r w:rsidRPr="0047509B">
        <w:rPr>
          <w:rStyle w:val="Hipervnculo"/>
          <w:lang w:val="es-MX"/>
        </w:rPr>
        <w:t>Presentación oficial de Plan México</w:t>
      </w:r>
      <w:r>
        <w:fldChar w:fldCharType="end"/>
      </w:r>
      <w:r w:rsidRPr="0047509B">
        <w:rPr>
          <w:lang w:val="es-MX"/>
        </w:rPr>
        <w:t>, 13 de enero de 2025. Contiene los tres ejes, las 13 metas y la meta de financiamiento a pymes.</w:t>
      </w:r>
    </w:p>
    <w:p w14:paraId="7E0B9947" w14:textId="77777777" w:rsidR="00341CD7" w:rsidRPr="0047509B" w:rsidRDefault="00341CD7" w:rsidP="00341CD7">
      <w:pPr>
        <w:pStyle w:val="Ttulo2"/>
        <w:rPr>
          <w:lang w:val="es-MX"/>
        </w:rPr>
      </w:pPr>
      <w:r w:rsidRPr="0047509B">
        <w:rPr>
          <w:lang w:val="es-MX"/>
        </w:rPr>
        <w:t>Anexo B. Basura Cero</w:t>
      </w:r>
    </w:p>
    <w:p w14:paraId="1E042F08" w14:textId="77777777" w:rsidR="00341CD7" w:rsidRDefault="00341CD7" w:rsidP="00341CD7">
      <w:pPr>
        <w:pStyle w:val="NormalWeb"/>
      </w:pPr>
      <w:r>
        <w:t>La Ciudad de México genera más de 12 mil toneladas de basura al día, y durante años la mayor parte terminó enterrada en rellenos sanitarios del Estado de México y Morelos. Solo transportarla le costaba a la ciudad unos 2 mil 800 millones de pesos al año. Basura Cero nace como respuesta a ese problema: la idea es que los residuos dejen de verse como desecho y vuelvan a la economía como materia prima, lo que se conoce como economía circular (</w:t>
      </w:r>
      <w:r>
        <w:fldChar w:fldCharType="begin"/>
      </w:r>
      <w:r>
        <w:instrText>HYPERLINK "https://www.milenio.com/politica/basura-sheinbaum-lanza-plan-accion-cdmx" \t "_blank"</w:instrText>
      </w:r>
      <w:r>
        <w:fldChar w:fldCharType="separate"/>
      </w:r>
      <w:r>
        <w:rPr>
          <w:rStyle w:val="Hipervnculo"/>
        </w:rPr>
        <w:t>Milenio</w:t>
      </w:r>
      <w:r>
        <w:fldChar w:fldCharType="end"/>
      </w:r>
      <w:r>
        <w:t>).</w:t>
      </w:r>
    </w:p>
    <w:p w14:paraId="218D1183" w14:textId="77777777" w:rsidR="00341CD7" w:rsidRDefault="00341CD7" w:rsidP="00341CD7">
      <w:pPr>
        <w:pStyle w:val="NormalWeb"/>
      </w:pPr>
      <w:r>
        <w:lastRenderedPageBreak/>
        <w:t xml:space="preserve">El programa tiene dos etapas. La primera es el </w:t>
      </w:r>
      <w:r>
        <w:rPr>
          <w:rStyle w:val="nfasis"/>
        </w:rPr>
        <w:t>Plan de Acción Basura Cero, hacia una Economía Circular</w:t>
      </w:r>
      <w:r>
        <w:t>, que presentó Claudia Sheinbaum en 2019 como jefa de Gobierno. Su meta era que el aprovechamiento de residuos pasara de 4,100 a 10,700 toneladas diarias (</w:t>
      </w:r>
      <w:r>
        <w:fldChar w:fldCharType="begin"/>
      </w:r>
      <w:r>
        <w:instrText>HYPERLINK "https://politica.expansion.mx/cdmx/2019/05/26/basuracero-el-gobierno-de-la-cdmx-presenta-plan-para-reducir-desechos" \t "_blank"</w:instrText>
      </w:r>
      <w:r>
        <w:fldChar w:fldCharType="separate"/>
      </w:r>
      <w:r>
        <w:rPr>
          <w:rStyle w:val="Hipervnculo"/>
        </w:rPr>
        <w:t>Expansión</w:t>
      </w:r>
      <w:r>
        <w:fldChar w:fldCharType="end"/>
      </w:r>
      <w:r>
        <w:t>). De ahí salieron medidas que hoy son cotidianas, como la prohibición de bolsas y plásticos de un solo uso. Según la Sedema, el plan ayudó a evitar 621 mil toneladas de dióxido de carbono al año y a ahorrar 904.5 millones de pesos en traslados (</w:t>
      </w:r>
      <w:r>
        <w:fldChar w:fldCharType="begin"/>
      </w:r>
      <w:r>
        <w:instrText>HYPERLINK "https://www.unotv.com/estados/ciudad-de-mexico/plan-basura-cero-que-es-y-como-ha-ayudado-a-mitigar-621-mil-toneladas-de-dioxido-de-carbono-en-cdmx/" \t "_blank"</w:instrText>
      </w:r>
      <w:r>
        <w:fldChar w:fldCharType="separate"/>
      </w:r>
      <w:r>
        <w:rPr>
          <w:rStyle w:val="Hipervnculo"/>
        </w:rPr>
        <w:t>UnoTV</w:t>
      </w:r>
      <w:r>
        <w:fldChar w:fldCharType="end"/>
      </w:r>
      <w:r>
        <w:t>).</w:t>
      </w:r>
    </w:p>
    <w:p w14:paraId="3BE58CA2" w14:textId="77777777" w:rsidR="00341CD7" w:rsidRDefault="00341CD7" w:rsidP="00341CD7">
      <w:pPr>
        <w:pStyle w:val="NormalWeb"/>
      </w:pPr>
      <w:r>
        <w:t xml:space="preserve">La segunda etapa es </w:t>
      </w:r>
      <w:r>
        <w:rPr>
          <w:rStyle w:val="nfasis"/>
        </w:rPr>
        <w:t>Ciudad Circular: Basura Cero</w:t>
      </w:r>
      <w:r>
        <w:t>, que presentó Clara Brugada en agosto de 2025. Su objetivo es reducir a la mitad la basura que se entierra rumbo a 2030. Para lograrlo, la ciudad apuesta por recolectar cada tipo de residuo en días distintos, pasar de 8 a 12 plantas de composta y crear una Agencia de Gestión Integral de Residuos que coordine todo el sistema (</w:t>
      </w:r>
      <w:r>
        <w:fldChar w:fldCharType="begin"/>
      </w:r>
      <w:r>
        <w:instrText>HYPERLINK "https://www.xataka.com.mx/ecologia-y-naturaleza/cdmx-quiere-transformar-basura-recursos-plan-para-reducir-50-desechos-rumbo-a-2030" \t "_blank"</w:instrText>
      </w:r>
      <w:r>
        <w:fldChar w:fldCharType="separate"/>
      </w:r>
      <w:r>
        <w:rPr>
          <w:rStyle w:val="Hipervnculo"/>
        </w:rPr>
        <w:t>Xataka México</w:t>
      </w:r>
      <w:r>
        <w:fldChar w:fldCharType="end"/>
      </w:r>
      <w:r>
        <w:t>). Desde el 1 de enero de 2026 la separación en casa se volvió más estricta.</w:t>
      </w:r>
    </w:p>
    <w:p w14:paraId="7050E59C" w14:textId="77777777" w:rsidR="00341CD7" w:rsidRDefault="00341CD7" w:rsidP="00341CD7">
      <w:pPr>
        <w:pStyle w:val="NormalWeb"/>
      </w:pPr>
      <w:r>
        <w:t>El programa también tiene un lado económico que conecta con el informe principal: reciclar, compostar y reaprovechar materiales depende en buena parte de empresas privadas, muchas de ellas pequeñas, como centros de acopio y recicladoras. Para que crezcan necesitan, igual que cualquier pyme, acceso a crédito.</w:t>
      </w:r>
    </w:p>
    <w:p w14:paraId="6A858BCD" w14:textId="77777777" w:rsidR="00341CD7" w:rsidRDefault="00341CD7" w:rsidP="00341CD7">
      <w:pPr>
        <w:numPr>
          <w:ilvl w:val="0"/>
          <w:numId w:val="5"/>
        </w:numPr>
        <w:spacing w:before="100" w:beforeAutospacing="1" w:after="100" w:afterAutospacing="1" w:line="240" w:lineRule="auto"/>
      </w:pPr>
      <w:r>
        <w:fldChar w:fldCharType="begin"/>
      </w:r>
      <w:r w:rsidRPr="0047509B">
        <w:rPr>
          <w:lang w:val="es-MX"/>
        </w:rPr>
        <w:instrText>HYPERLINK "https://www.sedema.cdmx.gob.mx/storage/app/media/Cuadernillos-Ambientales/7-BASURA-CERO.pdf" \t "_blank"</w:instrText>
      </w:r>
      <w:r>
        <w:fldChar w:fldCharType="separate"/>
      </w:r>
      <w:r w:rsidRPr="0047509B">
        <w:rPr>
          <w:rStyle w:val="Hipervnculo"/>
          <w:lang w:val="es-MX"/>
        </w:rPr>
        <w:t>Cuadernillo ambiental Basura Cero</w:t>
      </w:r>
      <w:r>
        <w:fldChar w:fldCharType="end"/>
      </w:r>
      <w:r w:rsidRPr="0047509B">
        <w:rPr>
          <w:lang w:val="es-MX"/>
        </w:rPr>
        <w:t xml:space="preserve">, Secretaría del Medio Ambiente (Sedema). </w:t>
      </w:r>
      <w:r>
        <w:t xml:space="preserve">Resume el plan de 2019 y sus </w:t>
      </w:r>
      <w:proofErr w:type="spellStart"/>
      <w:r>
        <w:t>resultados</w:t>
      </w:r>
      <w:proofErr w:type="spellEnd"/>
      <w:r>
        <w:t>.</w:t>
      </w:r>
    </w:p>
    <w:p w14:paraId="20513A86" w14:textId="77777777" w:rsidR="00341CD7" w:rsidRPr="0047509B" w:rsidRDefault="00341CD7" w:rsidP="00341CD7">
      <w:pPr>
        <w:numPr>
          <w:ilvl w:val="0"/>
          <w:numId w:val="5"/>
        </w:numPr>
        <w:spacing w:before="100" w:beforeAutospacing="1" w:after="100" w:afterAutospacing="1" w:line="240" w:lineRule="auto"/>
        <w:rPr>
          <w:lang w:val="es-MX"/>
        </w:rPr>
      </w:pPr>
      <w:r>
        <w:fldChar w:fldCharType="begin"/>
      </w:r>
      <w:r w:rsidRPr="0047509B">
        <w:rPr>
          <w:lang w:val="es-MX"/>
        </w:rPr>
        <w:instrText>HYPERLINK "https://www.xataka.com.mx/ecologia-y-naturaleza/cdmx-quiere-transformar-basura-recursos-plan-para-reducir-50-desechos-rumbo-a-2030" \t "_blank"</w:instrText>
      </w:r>
      <w:r>
        <w:fldChar w:fldCharType="separate"/>
      </w:r>
      <w:r w:rsidRPr="0047509B">
        <w:rPr>
          <w:rStyle w:val="Hipervnculo"/>
          <w:lang w:val="es-MX"/>
        </w:rPr>
        <w:t>Ciudad Circular: Basura Cero</w:t>
      </w:r>
      <w:r>
        <w:fldChar w:fldCharType="end"/>
      </w:r>
      <w:r w:rsidRPr="0047509B">
        <w:rPr>
          <w:lang w:val="es-MX"/>
        </w:rPr>
        <w:t>, nota sobre la estrategia de 2025. El gobierno aún no publica un documento completo de esta etapa.</w:t>
      </w:r>
    </w:p>
    <w:p w14:paraId="673EF49A" w14:textId="77777777" w:rsidR="00341CD7" w:rsidRPr="0047509B" w:rsidRDefault="00341CD7" w:rsidP="00341CD7">
      <w:pPr>
        <w:numPr>
          <w:ilvl w:val="0"/>
          <w:numId w:val="5"/>
        </w:numPr>
        <w:spacing w:before="100" w:beforeAutospacing="1" w:after="100" w:afterAutospacing="1" w:line="240" w:lineRule="auto"/>
        <w:rPr>
          <w:lang w:val="es-MX"/>
        </w:rPr>
      </w:pPr>
      <w:r>
        <w:fldChar w:fldCharType="begin"/>
      </w:r>
      <w:r w:rsidRPr="0047509B">
        <w:rPr>
          <w:lang w:val="es-MX"/>
        </w:rPr>
        <w:instrText>HYPERLINK "https://repositorio.xoc.uam.mx/jspui/retrieve/af7e2af8-c4d9-4330-8e32-099009e49f55/51174.pdf" \t "_blank"</w:instrText>
      </w:r>
      <w:r>
        <w:fldChar w:fldCharType="separate"/>
      </w:r>
      <w:r w:rsidRPr="0047509B">
        <w:rPr>
          <w:rStyle w:val="Hipervnculo"/>
          <w:lang w:val="es-MX"/>
        </w:rPr>
        <w:t>Tesis de la UAM Xochimilco sobre Basura Cero</w:t>
      </w:r>
      <w:r>
        <w:fldChar w:fldCharType="end"/>
      </w:r>
      <w:r w:rsidRPr="0047509B">
        <w:rPr>
          <w:lang w:val="es-MX"/>
        </w:rPr>
        <w:t>. Analiza la gestión de residuos en la ciudad y dedica un capítulo al plan.</w:t>
      </w:r>
    </w:p>
    <w:p w14:paraId="6ED41110" w14:textId="77777777" w:rsidR="00341CD7" w:rsidRPr="00F5611F" w:rsidRDefault="00341CD7" w:rsidP="00F5611F">
      <w:pPr>
        <w:spacing w:line="360" w:lineRule="auto"/>
        <w:jc w:val="both"/>
        <w:rPr>
          <w:rFonts w:ascii="Arial" w:hAnsi="Arial" w:cs="Arial"/>
          <w:lang w:val="es-MX"/>
        </w:rPr>
      </w:pPr>
    </w:p>
    <w:p w14:paraId="65152C69" w14:textId="77777777" w:rsidR="00F5611F" w:rsidRPr="00F5611F" w:rsidRDefault="00F5611F" w:rsidP="00F5611F">
      <w:pPr>
        <w:pStyle w:val="Ttulo2"/>
        <w:spacing w:line="360" w:lineRule="auto"/>
        <w:jc w:val="both"/>
        <w:rPr>
          <w:rFonts w:ascii="Arial" w:hAnsi="Arial" w:cs="Arial"/>
          <w:sz w:val="22"/>
          <w:lang w:val="es-MX"/>
        </w:rPr>
      </w:pPr>
    </w:p>
    <w:p w14:paraId="0A578DFA" w14:textId="77777777" w:rsidR="00F5611F" w:rsidRPr="00F5611F" w:rsidRDefault="00F5611F" w:rsidP="00F5611F">
      <w:pPr>
        <w:pStyle w:val="Ttulo2"/>
        <w:spacing w:line="360" w:lineRule="auto"/>
        <w:jc w:val="both"/>
        <w:rPr>
          <w:rFonts w:ascii="Arial" w:hAnsi="Arial" w:cs="Arial"/>
          <w:sz w:val="22"/>
          <w:lang w:val="es-MX"/>
        </w:rPr>
      </w:pPr>
    </w:p>
    <w:p w14:paraId="7AA4ED08" w14:textId="7855B040" w:rsidR="00EB77EF" w:rsidRPr="00F5611F" w:rsidRDefault="00000000" w:rsidP="00F5611F">
      <w:pPr>
        <w:pStyle w:val="Ttulo2"/>
        <w:spacing w:line="360" w:lineRule="auto"/>
        <w:jc w:val="both"/>
        <w:rPr>
          <w:rFonts w:ascii="Arial" w:hAnsi="Arial" w:cs="Arial"/>
          <w:sz w:val="22"/>
        </w:rPr>
      </w:pPr>
      <w:proofErr w:type="spellStart"/>
      <w:r w:rsidRPr="00F5611F">
        <w:rPr>
          <w:rFonts w:ascii="Arial" w:hAnsi="Arial" w:cs="Arial"/>
          <w:sz w:val="22"/>
        </w:rPr>
        <w:t>Referencias</w:t>
      </w:r>
      <w:proofErr w:type="spellEnd"/>
      <w:r w:rsidRPr="00F5611F">
        <w:rPr>
          <w:rFonts w:ascii="Arial" w:hAnsi="Arial" w:cs="Arial"/>
          <w:sz w:val="22"/>
        </w:rPr>
        <w:t xml:space="preserve"> (APA 7)</w:t>
      </w:r>
    </w:p>
    <w:p w14:paraId="6AB03206"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rPr>
        <w:t xml:space="preserve">Beck, T., y </w:t>
      </w:r>
      <w:proofErr w:type="spellStart"/>
      <w:r w:rsidRPr="00F5611F">
        <w:rPr>
          <w:rFonts w:ascii="Arial" w:hAnsi="Arial" w:cs="Arial"/>
        </w:rPr>
        <w:t>Demirgüç</w:t>
      </w:r>
      <w:proofErr w:type="spellEnd"/>
      <w:r w:rsidRPr="00F5611F">
        <w:rPr>
          <w:rFonts w:ascii="Arial" w:hAnsi="Arial" w:cs="Arial"/>
        </w:rPr>
        <w:t xml:space="preserve">-Kunt, A. (2006). Small and medium-size enterprises: Access to finance as a growth constraint. </w:t>
      </w:r>
      <w:r w:rsidRPr="00F5611F">
        <w:rPr>
          <w:rFonts w:ascii="Arial" w:hAnsi="Arial" w:cs="Arial"/>
          <w:i/>
        </w:rPr>
        <w:t>Journal of Banking &amp; Finance, 30</w:t>
      </w:r>
      <w:r w:rsidRPr="00F5611F">
        <w:rPr>
          <w:rFonts w:ascii="Arial" w:hAnsi="Arial" w:cs="Arial"/>
        </w:rPr>
        <w:t>(11), 2931–2943. https://doi.org/10.1016/j.jbankfin.2006.05.009</w:t>
      </w:r>
    </w:p>
    <w:p w14:paraId="047BF20A"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rPr>
        <w:t xml:space="preserve">Berger, A. N., y Udell, G. F. (1998). The economics of small business finance: The roles of private equity and debt markets in the financial growth cycle. </w:t>
      </w:r>
      <w:r w:rsidRPr="00F5611F">
        <w:rPr>
          <w:rFonts w:ascii="Arial" w:hAnsi="Arial" w:cs="Arial"/>
          <w:i/>
        </w:rPr>
        <w:t>Journal of Banking &amp; Finance, 22</w:t>
      </w:r>
      <w:r w:rsidRPr="00F5611F">
        <w:rPr>
          <w:rFonts w:ascii="Arial" w:hAnsi="Arial" w:cs="Arial"/>
        </w:rPr>
        <w:t>(6–8), 613–673. https://doi.org/10.1016/S0378-4266(98)00038-7</w:t>
      </w:r>
    </w:p>
    <w:p w14:paraId="220125A7"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lang w:val="es-MX"/>
        </w:rPr>
        <w:t xml:space="preserve">Carballo, I. E., y Dalle-Nogare, F. (2019). Fintech e inclusión financiera: los casos de México, Chile y Perú. </w:t>
      </w:r>
      <w:r w:rsidRPr="00F5611F">
        <w:rPr>
          <w:rFonts w:ascii="Arial" w:hAnsi="Arial" w:cs="Arial"/>
          <w:i/>
        </w:rPr>
        <w:t>Revista CEA, 5</w:t>
      </w:r>
      <w:r w:rsidRPr="00F5611F">
        <w:rPr>
          <w:rFonts w:ascii="Arial" w:hAnsi="Arial" w:cs="Arial"/>
        </w:rPr>
        <w:t>(10), 11–34. https://doi.org/10.22430/24223182.1441</w:t>
      </w:r>
    </w:p>
    <w:p w14:paraId="210E3E1A"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lang w:val="es-MX"/>
        </w:rPr>
        <w:lastRenderedPageBreak/>
        <w:t xml:space="preserve">Gómez Martínez, A., y López Mejía, M. R. (2016). Diferencias de género en la aprobación de créditos comerciales a la PYME mexicana. </w:t>
      </w:r>
      <w:proofErr w:type="spellStart"/>
      <w:r w:rsidRPr="00F5611F">
        <w:rPr>
          <w:rFonts w:ascii="Arial" w:hAnsi="Arial" w:cs="Arial"/>
          <w:i/>
        </w:rPr>
        <w:t>Contaduría</w:t>
      </w:r>
      <w:proofErr w:type="spellEnd"/>
      <w:r w:rsidRPr="00F5611F">
        <w:rPr>
          <w:rFonts w:ascii="Arial" w:hAnsi="Arial" w:cs="Arial"/>
          <w:i/>
        </w:rPr>
        <w:t xml:space="preserve"> y Administración, 61</w:t>
      </w:r>
      <w:r w:rsidRPr="00F5611F">
        <w:rPr>
          <w:rFonts w:ascii="Arial" w:hAnsi="Arial" w:cs="Arial"/>
        </w:rPr>
        <w:t xml:space="preserve">(4), 777–793. </w:t>
      </w:r>
      <w:hyperlink r:id="rId27" w:history="1">
        <w:proofErr w:type="spellStart"/>
        <w:r w:rsidR="00EB77EF" w:rsidRPr="00F5611F">
          <w:rPr>
            <w:rStyle w:val="Hipervnculo"/>
            <w:rFonts w:ascii="Arial" w:hAnsi="Arial" w:cs="Arial"/>
          </w:rPr>
          <w:t>SciELO</w:t>
        </w:r>
        <w:proofErr w:type="spellEnd"/>
      </w:hyperlink>
    </w:p>
    <w:p w14:paraId="3A713B65" w14:textId="77777777" w:rsidR="00EB77EF" w:rsidRPr="00F5611F" w:rsidRDefault="00000000" w:rsidP="00F5611F">
      <w:pPr>
        <w:pStyle w:val="Prrafodelista"/>
        <w:numPr>
          <w:ilvl w:val="0"/>
          <w:numId w:val="2"/>
        </w:numPr>
        <w:spacing w:line="360" w:lineRule="auto"/>
        <w:jc w:val="both"/>
        <w:rPr>
          <w:rFonts w:ascii="Arial" w:hAnsi="Arial" w:cs="Arial"/>
          <w:lang w:val="es-MX"/>
        </w:rPr>
      </w:pPr>
      <w:r w:rsidRPr="00F5611F">
        <w:rPr>
          <w:rFonts w:ascii="Arial" w:hAnsi="Arial" w:cs="Arial"/>
        </w:rPr>
        <w:t xml:space="preserve">Gómez-Ramírez, L. (2019). Credit constraints and investment in Mexico, an empirical test. </w:t>
      </w:r>
      <w:r w:rsidRPr="00F5611F">
        <w:rPr>
          <w:rFonts w:ascii="Arial" w:hAnsi="Arial" w:cs="Arial"/>
          <w:i/>
          <w:lang w:val="es-MX"/>
        </w:rPr>
        <w:t>Revista Mexicana de Economía y Finanzas, 14</w:t>
      </w:r>
      <w:r w:rsidRPr="00F5611F">
        <w:rPr>
          <w:rFonts w:ascii="Arial" w:hAnsi="Arial" w:cs="Arial"/>
          <w:lang w:val="es-MX"/>
        </w:rPr>
        <w:t>(3). https://doi.org/10.21919/remef.v14i3.311</w:t>
      </w:r>
    </w:p>
    <w:p w14:paraId="25006444"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lang w:val="es-MX"/>
        </w:rPr>
        <w:t xml:space="preserve">Jiménez Rico, A., Gómez López, C. S., y Zamilpa Paredes, J. (2023). </w:t>
      </w:r>
      <w:r w:rsidRPr="00F5611F">
        <w:rPr>
          <w:rFonts w:ascii="Arial" w:hAnsi="Arial" w:cs="Arial"/>
        </w:rPr>
        <w:t xml:space="preserve">Determinants of access to bank financing in SMEs in Mexico. </w:t>
      </w:r>
      <w:r w:rsidRPr="00F5611F">
        <w:rPr>
          <w:rFonts w:ascii="Arial" w:hAnsi="Arial" w:cs="Arial"/>
          <w:i/>
        </w:rPr>
        <w:t>Journal of Risk and Financial Management, 16</w:t>
      </w:r>
      <w:r w:rsidRPr="00F5611F">
        <w:rPr>
          <w:rFonts w:ascii="Arial" w:hAnsi="Arial" w:cs="Arial"/>
        </w:rPr>
        <w:t>(11), 477. https://doi.org/10.3390/jrfm16110477</w:t>
      </w:r>
    </w:p>
    <w:p w14:paraId="1B133EA0"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lang w:val="es-MX"/>
        </w:rPr>
        <w:t xml:space="preserve">Moreda-González-Ortega, C., Torija-Bretón, G., y Hernández-Sánchez, Z. (2026). Inclusión financiera digital en 2024: análisis bibliométrico sobre tendencias predominantes y emergentes. </w:t>
      </w:r>
      <w:proofErr w:type="spellStart"/>
      <w:r w:rsidRPr="00F5611F">
        <w:rPr>
          <w:rFonts w:ascii="Arial" w:hAnsi="Arial" w:cs="Arial"/>
          <w:i/>
        </w:rPr>
        <w:t>VinculaTégica</w:t>
      </w:r>
      <w:proofErr w:type="spellEnd"/>
      <w:r w:rsidRPr="00F5611F">
        <w:rPr>
          <w:rFonts w:ascii="Arial" w:hAnsi="Arial" w:cs="Arial"/>
          <w:i/>
        </w:rPr>
        <w:t xml:space="preserve"> EFAN, 12</w:t>
      </w:r>
      <w:r w:rsidRPr="00F5611F">
        <w:rPr>
          <w:rFonts w:ascii="Arial" w:hAnsi="Arial" w:cs="Arial"/>
        </w:rPr>
        <w:t xml:space="preserve">(1). </w:t>
      </w:r>
      <w:hyperlink r:id="rId28" w:history="1">
        <w:r w:rsidR="00EB77EF" w:rsidRPr="00F5611F">
          <w:rPr>
            <w:rStyle w:val="Hipervnculo"/>
            <w:rFonts w:ascii="Arial" w:hAnsi="Arial" w:cs="Arial"/>
          </w:rPr>
          <w:t>UANL</w:t>
        </w:r>
      </w:hyperlink>
    </w:p>
    <w:p w14:paraId="4C564343"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rPr>
        <w:t xml:space="preserve">Myers, S. C., y Majluf, N. S. (1984). Corporate financing and investment decisions when firms have information that investors do not have. </w:t>
      </w:r>
      <w:r w:rsidRPr="00F5611F">
        <w:rPr>
          <w:rFonts w:ascii="Arial" w:hAnsi="Arial" w:cs="Arial"/>
          <w:i/>
        </w:rPr>
        <w:t>Journal of Financial Economics, 13</w:t>
      </w:r>
      <w:r w:rsidRPr="00F5611F">
        <w:rPr>
          <w:rFonts w:ascii="Arial" w:hAnsi="Arial" w:cs="Arial"/>
        </w:rPr>
        <w:t>(2), 187–221. https://doi.org/10.1016/0304-405X(84)90023-0</w:t>
      </w:r>
    </w:p>
    <w:p w14:paraId="245F3197"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lang w:val="es-MX"/>
        </w:rPr>
        <w:t xml:space="preserve">Stiglitz, J. E., y Weiss, A. (1981). </w:t>
      </w:r>
      <w:r w:rsidRPr="00F5611F">
        <w:rPr>
          <w:rFonts w:ascii="Arial" w:hAnsi="Arial" w:cs="Arial"/>
        </w:rPr>
        <w:t xml:space="preserve">Credit rationing in markets with imperfect information. </w:t>
      </w:r>
      <w:r w:rsidRPr="00F5611F">
        <w:rPr>
          <w:rFonts w:ascii="Arial" w:hAnsi="Arial" w:cs="Arial"/>
          <w:i/>
        </w:rPr>
        <w:t>American Economic Review, 71</w:t>
      </w:r>
      <w:r w:rsidRPr="00F5611F">
        <w:rPr>
          <w:rFonts w:ascii="Arial" w:hAnsi="Arial" w:cs="Arial"/>
        </w:rPr>
        <w:t>(3), 393–410.</w:t>
      </w:r>
    </w:p>
    <w:p w14:paraId="72FE35EF"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lang w:val="es-MX"/>
        </w:rPr>
        <w:t xml:space="preserve">Tregear, M. (2020). Limitantes endógenas al financiamiento bancario de las Pyme mexicanas y el despliegue de políticas públicas (2000–2015). </w:t>
      </w:r>
      <w:proofErr w:type="spellStart"/>
      <w:r w:rsidRPr="00F5611F">
        <w:rPr>
          <w:rFonts w:ascii="Arial" w:hAnsi="Arial" w:cs="Arial"/>
          <w:i/>
        </w:rPr>
        <w:t>Análisis</w:t>
      </w:r>
      <w:proofErr w:type="spellEnd"/>
      <w:r w:rsidRPr="00F5611F">
        <w:rPr>
          <w:rFonts w:ascii="Arial" w:hAnsi="Arial" w:cs="Arial"/>
          <w:i/>
        </w:rPr>
        <w:t xml:space="preserve"> Económico, 35</w:t>
      </w:r>
      <w:r w:rsidRPr="00F5611F">
        <w:rPr>
          <w:rFonts w:ascii="Arial" w:hAnsi="Arial" w:cs="Arial"/>
        </w:rPr>
        <w:t xml:space="preserve">(90), 117–146. </w:t>
      </w:r>
      <w:hyperlink r:id="rId29" w:history="1">
        <w:proofErr w:type="spellStart"/>
        <w:r w:rsidR="00EB77EF" w:rsidRPr="00F5611F">
          <w:rPr>
            <w:rStyle w:val="Hipervnculo"/>
            <w:rFonts w:ascii="Arial" w:hAnsi="Arial" w:cs="Arial"/>
          </w:rPr>
          <w:t>Redalyc</w:t>
        </w:r>
        <w:proofErr w:type="spellEnd"/>
      </w:hyperlink>
    </w:p>
    <w:p w14:paraId="1D6807FD" w14:textId="77777777" w:rsidR="00EB77EF" w:rsidRPr="00F5611F" w:rsidRDefault="00000000" w:rsidP="00F5611F">
      <w:pPr>
        <w:pStyle w:val="Prrafodelista"/>
        <w:numPr>
          <w:ilvl w:val="0"/>
          <w:numId w:val="2"/>
        </w:numPr>
        <w:spacing w:line="360" w:lineRule="auto"/>
        <w:jc w:val="both"/>
        <w:rPr>
          <w:rFonts w:ascii="Arial" w:hAnsi="Arial" w:cs="Arial"/>
          <w:lang w:val="es-MX"/>
        </w:rPr>
      </w:pPr>
      <w:r w:rsidRPr="00F5611F">
        <w:rPr>
          <w:rFonts w:ascii="Arial" w:hAnsi="Arial" w:cs="Arial"/>
          <w:i/>
        </w:rPr>
        <w:t>Diagnosis of bank financing of Mexican MSMEs: Progress and challenges.</w:t>
      </w:r>
      <w:r w:rsidRPr="00F5611F">
        <w:rPr>
          <w:rFonts w:ascii="Arial" w:hAnsi="Arial" w:cs="Arial"/>
        </w:rPr>
        <w:t xml:space="preserve"> </w:t>
      </w:r>
      <w:r w:rsidRPr="00F5611F">
        <w:rPr>
          <w:rFonts w:ascii="Arial" w:hAnsi="Arial" w:cs="Arial"/>
          <w:i/>
          <w:lang w:val="es-MX"/>
        </w:rPr>
        <w:t>Hitos de Ciencias Económico Administrativas</w:t>
      </w:r>
      <w:r w:rsidRPr="00F5611F">
        <w:rPr>
          <w:rFonts w:ascii="Arial" w:hAnsi="Arial" w:cs="Arial"/>
          <w:lang w:val="es-MX"/>
        </w:rPr>
        <w:t>, año 29, núm. 84. https://doi.org/10.19136/hitos.a29n84.5725</w:t>
      </w:r>
    </w:p>
    <w:p w14:paraId="3B07399F"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i/>
        </w:rPr>
        <w:t>Inequalities in firms’ access to credit in Latin America</w:t>
      </w:r>
      <w:r w:rsidRPr="00F5611F">
        <w:rPr>
          <w:rFonts w:ascii="Arial" w:hAnsi="Arial" w:cs="Arial"/>
        </w:rPr>
        <w:t xml:space="preserve"> (2013). </w:t>
      </w:r>
      <w:r w:rsidRPr="00F5611F">
        <w:rPr>
          <w:rFonts w:ascii="Arial" w:hAnsi="Arial" w:cs="Arial"/>
          <w:i/>
        </w:rPr>
        <w:t>Global Economy Journal, 13</w:t>
      </w:r>
      <w:r w:rsidRPr="00F5611F">
        <w:rPr>
          <w:rFonts w:ascii="Arial" w:hAnsi="Arial" w:cs="Arial"/>
        </w:rPr>
        <w:t xml:space="preserve">(3–4), 283–318. </w:t>
      </w:r>
      <w:hyperlink r:id="rId30" w:history="1">
        <w:r w:rsidR="00EB77EF" w:rsidRPr="00F5611F">
          <w:rPr>
            <w:rStyle w:val="Hipervnculo"/>
            <w:rFonts w:ascii="Arial" w:hAnsi="Arial" w:cs="Arial"/>
          </w:rPr>
          <w:t>Registro</w:t>
        </w:r>
      </w:hyperlink>
    </w:p>
    <w:p w14:paraId="1F3A51E5"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i/>
          <w:lang w:val="es-MX"/>
        </w:rPr>
        <w:t>La inclusión financiera en microempresarias mexicanas.</w:t>
      </w:r>
      <w:r w:rsidRPr="00F5611F">
        <w:rPr>
          <w:rFonts w:ascii="Arial" w:hAnsi="Arial" w:cs="Arial"/>
          <w:lang w:val="es-MX"/>
        </w:rPr>
        <w:t xml:space="preserve"> Boletín Científico de la Escuela Superior Ciudad Sahagún, UAEH. </w:t>
      </w:r>
      <w:r w:rsidR="00EB77EF">
        <w:fldChar w:fldCharType="begin"/>
      </w:r>
      <w:r w:rsidR="00EB77EF" w:rsidRPr="00341CD7">
        <w:rPr>
          <w:lang w:val="es-MX"/>
        </w:rPr>
        <w:instrText>HYPERLINK "https://repository.uaeh.edu.mx/revistas/index.php/sahagun/article/view/10772"</w:instrText>
      </w:r>
      <w:r w:rsidR="00EB77EF">
        <w:fldChar w:fldCharType="separate"/>
      </w:r>
      <w:proofErr w:type="spellStart"/>
      <w:r w:rsidR="00EB77EF" w:rsidRPr="00F5611F">
        <w:rPr>
          <w:rStyle w:val="Hipervnculo"/>
          <w:rFonts w:ascii="Arial" w:hAnsi="Arial" w:cs="Arial"/>
        </w:rPr>
        <w:t>Artículo</w:t>
      </w:r>
      <w:proofErr w:type="spellEnd"/>
      <w:r w:rsidR="00EB77EF">
        <w:fldChar w:fldCharType="end"/>
      </w:r>
    </w:p>
    <w:p w14:paraId="1B647C76"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i/>
          <w:lang w:val="es-MX"/>
        </w:rPr>
        <w:t>La lógica dominante de servicio como motor de la inclusión financiera en el sector de pagos digitales: el caso de E-fectivo</w:t>
      </w:r>
      <w:r w:rsidRPr="00F5611F">
        <w:rPr>
          <w:rFonts w:ascii="Arial" w:hAnsi="Arial" w:cs="Arial"/>
          <w:lang w:val="es-MX"/>
        </w:rPr>
        <w:t xml:space="preserve"> (2025). </w:t>
      </w:r>
      <w:r w:rsidRPr="00F5611F">
        <w:rPr>
          <w:rFonts w:ascii="Arial" w:hAnsi="Arial" w:cs="Arial"/>
          <w:i/>
        </w:rPr>
        <w:t>Revista Mexicana de Economía y Finanzas, 20</w:t>
      </w:r>
      <w:r w:rsidRPr="00F5611F">
        <w:rPr>
          <w:rFonts w:ascii="Arial" w:hAnsi="Arial" w:cs="Arial"/>
        </w:rPr>
        <w:t xml:space="preserve">(4), e1025. </w:t>
      </w:r>
      <w:hyperlink r:id="rId31" w:history="1">
        <w:r w:rsidR="00EB77EF" w:rsidRPr="00F5611F">
          <w:rPr>
            <w:rStyle w:val="Hipervnculo"/>
            <w:rFonts w:ascii="Arial" w:hAnsi="Arial" w:cs="Arial"/>
          </w:rPr>
          <w:t>REMEF</w:t>
        </w:r>
      </w:hyperlink>
    </w:p>
    <w:p w14:paraId="79076C2B" w14:textId="77777777" w:rsidR="00EB77EF" w:rsidRPr="00F5611F" w:rsidRDefault="00000000" w:rsidP="00F5611F">
      <w:pPr>
        <w:pStyle w:val="Prrafodelista"/>
        <w:numPr>
          <w:ilvl w:val="0"/>
          <w:numId w:val="2"/>
        </w:numPr>
        <w:spacing w:line="360" w:lineRule="auto"/>
        <w:jc w:val="both"/>
        <w:rPr>
          <w:rFonts w:ascii="Arial" w:hAnsi="Arial" w:cs="Arial"/>
        </w:rPr>
      </w:pPr>
      <w:r w:rsidRPr="00F5611F">
        <w:rPr>
          <w:rFonts w:ascii="Arial" w:hAnsi="Arial" w:cs="Arial"/>
          <w:i/>
          <w:lang w:val="es-MX"/>
        </w:rPr>
        <w:t>Análisis de los PND anteriores y de las 13 metas de Plan México (título completo en la fuente).</w:t>
      </w:r>
      <w:r w:rsidRPr="00F5611F">
        <w:rPr>
          <w:rFonts w:ascii="Arial" w:hAnsi="Arial" w:cs="Arial"/>
          <w:lang w:val="es-MX"/>
        </w:rPr>
        <w:t xml:space="preserve"> </w:t>
      </w:r>
      <w:r w:rsidRPr="00F5611F">
        <w:rPr>
          <w:rFonts w:ascii="Arial" w:hAnsi="Arial" w:cs="Arial"/>
        </w:rPr>
        <w:t xml:space="preserve">Universidad </w:t>
      </w:r>
      <w:proofErr w:type="spellStart"/>
      <w:r w:rsidRPr="00F5611F">
        <w:rPr>
          <w:rFonts w:ascii="Arial" w:hAnsi="Arial" w:cs="Arial"/>
        </w:rPr>
        <w:t>Veracruzana</w:t>
      </w:r>
      <w:proofErr w:type="spellEnd"/>
      <w:r w:rsidRPr="00F5611F">
        <w:rPr>
          <w:rFonts w:ascii="Arial" w:hAnsi="Arial" w:cs="Arial"/>
        </w:rPr>
        <w:t xml:space="preserve">. </w:t>
      </w:r>
      <w:hyperlink r:id="rId32" w:history="1">
        <w:proofErr w:type="spellStart"/>
        <w:r w:rsidR="00EB77EF" w:rsidRPr="00F5611F">
          <w:rPr>
            <w:rStyle w:val="Hipervnculo"/>
            <w:rFonts w:ascii="Arial" w:hAnsi="Arial" w:cs="Arial"/>
          </w:rPr>
          <w:t>Artículo</w:t>
        </w:r>
        <w:proofErr w:type="spellEnd"/>
      </w:hyperlink>
    </w:p>
    <w:p w14:paraId="2CCD9B64" w14:textId="77777777" w:rsidR="00EB77EF" w:rsidRPr="00F5611F" w:rsidRDefault="00000000" w:rsidP="00F5611F">
      <w:pPr>
        <w:spacing w:line="360" w:lineRule="auto"/>
        <w:jc w:val="both"/>
        <w:rPr>
          <w:rFonts w:ascii="Arial" w:hAnsi="Arial" w:cs="Arial"/>
        </w:rPr>
      </w:pPr>
      <w:proofErr w:type="spellStart"/>
      <w:r w:rsidRPr="00F5611F">
        <w:rPr>
          <w:rFonts w:ascii="Arial" w:hAnsi="Arial" w:cs="Arial"/>
          <w:b/>
        </w:rPr>
        <w:t>Documentos</w:t>
      </w:r>
      <w:proofErr w:type="spellEnd"/>
      <w:r w:rsidRPr="00F5611F">
        <w:rPr>
          <w:rFonts w:ascii="Arial" w:hAnsi="Arial" w:cs="Arial"/>
          <w:b/>
        </w:rPr>
        <w:t xml:space="preserve"> </w:t>
      </w:r>
      <w:proofErr w:type="spellStart"/>
      <w:r w:rsidRPr="00F5611F">
        <w:rPr>
          <w:rFonts w:ascii="Arial" w:hAnsi="Arial" w:cs="Arial"/>
          <w:b/>
        </w:rPr>
        <w:t>institucionales</w:t>
      </w:r>
      <w:proofErr w:type="spellEnd"/>
      <w:r w:rsidRPr="00F5611F">
        <w:rPr>
          <w:rFonts w:ascii="Arial" w:hAnsi="Arial" w:cs="Arial"/>
          <w:b/>
        </w:rPr>
        <w:t xml:space="preserve"> y </w:t>
      </w:r>
      <w:proofErr w:type="spellStart"/>
      <w:r w:rsidRPr="00F5611F">
        <w:rPr>
          <w:rFonts w:ascii="Arial" w:hAnsi="Arial" w:cs="Arial"/>
          <w:b/>
        </w:rPr>
        <w:t>estadísticos</w:t>
      </w:r>
      <w:proofErr w:type="spellEnd"/>
    </w:p>
    <w:p w14:paraId="66CF2936" w14:textId="77777777" w:rsidR="00EB77EF" w:rsidRPr="00F5611F" w:rsidRDefault="00000000" w:rsidP="00F5611F">
      <w:pPr>
        <w:pStyle w:val="Prrafodelista"/>
        <w:numPr>
          <w:ilvl w:val="0"/>
          <w:numId w:val="3"/>
        </w:numPr>
        <w:spacing w:line="360" w:lineRule="auto"/>
        <w:jc w:val="both"/>
        <w:rPr>
          <w:rFonts w:ascii="Arial" w:hAnsi="Arial" w:cs="Arial"/>
        </w:rPr>
      </w:pPr>
      <w:r w:rsidRPr="00F5611F">
        <w:rPr>
          <w:rFonts w:ascii="Arial" w:hAnsi="Arial" w:cs="Arial"/>
          <w:lang w:val="es-MX"/>
        </w:rPr>
        <w:lastRenderedPageBreak/>
        <w:t xml:space="preserve">Asociación de Bancos de México. (2025a, 26 de febrero). </w:t>
      </w:r>
      <w:r w:rsidRPr="00F5611F">
        <w:rPr>
          <w:rFonts w:ascii="Arial" w:hAnsi="Arial" w:cs="Arial"/>
          <w:i/>
          <w:lang w:val="es-MX"/>
        </w:rPr>
        <w:t>La fortaleza financiera de la banca, factor indispensable para el crecimiento económico de México</w:t>
      </w:r>
      <w:r w:rsidRPr="00F5611F">
        <w:rPr>
          <w:rFonts w:ascii="Arial" w:hAnsi="Arial" w:cs="Arial"/>
          <w:lang w:val="es-MX"/>
        </w:rPr>
        <w:t xml:space="preserve"> [Comunicado 03/2025]. </w:t>
      </w:r>
      <w:hyperlink r:id="rId33" w:history="1">
        <w:r w:rsidR="00EB77EF" w:rsidRPr="00F5611F">
          <w:rPr>
            <w:rStyle w:val="Hipervnculo"/>
            <w:rFonts w:ascii="Arial" w:hAnsi="Arial" w:cs="Arial"/>
          </w:rPr>
          <w:t>ABM</w:t>
        </w:r>
      </w:hyperlink>
    </w:p>
    <w:p w14:paraId="346CED4F" w14:textId="77777777" w:rsidR="00EB77EF" w:rsidRPr="00F5611F" w:rsidRDefault="00000000" w:rsidP="00F5611F">
      <w:pPr>
        <w:pStyle w:val="Prrafodelista"/>
        <w:numPr>
          <w:ilvl w:val="0"/>
          <w:numId w:val="3"/>
        </w:numPr>
        <w:spacing w:line="360" w:lineRule="auto"/>
        <w:jc w:val="both"/>
        <w:rPr>
          <w:rFonts w:ascii="Arial" w:hAnsi="Arial" w:cs="Arial"/>
        </w:rPr>
      </w:pPr>
      <w:r w:rsidRPr="00F5611F">
        <w:rPr>
          <w:rFonts w:ascii="Arial" w:hAnsi="Arial" w:cs="Arial"/>
          <w:lang w:val="es-MX"/>
        </w:rPr>
        <w:t xml:space="preserve">Asociación de Bancos de México. (2025b, 8 de mayo). </w:t>
      </w:r>
      <w:r w:rsidRPr="00F5611F">
        <w:rPr>
          <w:rFonts w:ascii="Arial" w:hAnsi="Arial" w:cs="Arial"/>
          <w:i/>
          <w:lang w:val="es-MX"/>
        </w:rPr>
        <w:t>Comunicado sobre el acuerdo para el financiamiento a MiPyMEs</w:t>
      </w:r>
      <w:r w:rsidRPr="00F5611F">
        <w:rPr>
          <w:rFonts w:ascii="Arial" w:hAnsi="Arial" w:cs="Arial"/>
          <w:lang w:val="es-MX"/>
        </w:rPr>
        <w:t xml:space="preserve">. </w:t>
      </w:r>
      <w:hyperlink r:id="rId34" w:history="1">
        <w:r w:rsidR="00EB77EF" w:rsidRPr="00F5611F">
          <w:rPr>
            <w:rStyle w:val="Hipervnculo"/>
            <w:rFonts w:ascii="Arial" w:hAnsi="Arial" w:cs="Arial"/>
          </w:rPr>
          <w:t>ABM</w:t>
        </w:r>
      </w:hyperlink>
    </w:p>
    <w:p>
      <w:pPr>
        <w:pStyle w:val="Prrafodelista"/>
        <w:numPr>
          <w:ilvl w:val="0"/>
          <w:numId w:val="3"/>
        </w:numPr>
        <w:spacing w:line="360" w:lineRule="auto"/>
        <w:jc w:val="both"/>
      </w:pPr>
      <w:r>
        <w:rPr>
          <w:rFonts w:ascii="Arial" w:hAnsi="Arial" w:cs="Arial"/>
          <w:lang w:val="es-MX"/>
        </w:rPr>
        <w:t xml:space="preserve">Banco de México. (2021, 20 de mayo). </w:t>
      </w:r>
      <w:r>
        <w:rPr>
          <w:rFonts w:ascii="Arial" w:hAnsi="Arial" w:cs="Arial"/>
          <w:i/>
          <w:lang w:val="es-MX"/>
        </w:rPr>
        <w:t xml:space="preserve">Evolución del financiamiento a las empresas durante el trimestre enero-marzo de 2021</w:t>
      </w:r>
      <w:r>
        <w:rPr>
          <w:rFonts w:ascii="Arial" w:hAnsi="Arial" w:cs="Arial"/>
          <w:lang w:val="es-MX"/>
        </w:rPr>
        <w:t xml:space="preserve"> [Comunicado de prensa; muestra anterior, series de 2020]. </w:t>
      </w:r>
      <w:hyperlink r:id="rId50" w:history="1">
        <w:r>
          <w:rPr>
            <w:rStyle w:val="Hipervnculo"/>
            <w:rFonts w:ascii="Arial" w:hAnsi="Arial" w:cs="Arial"/>
            <w:lang w:val="es-MX"/>
          </w:rPr>
          <w:t xml:space="preserve">Banxico</w:t>
        </w:r>
      </w:hyperlink>
    </w:p>
    <w:p>
      <w:pPr>
        <w:pStyle w:val="Prrafodelista"/>
        <w:numPr>
          <w:ilvl w:val="0"/>
          <w:numId w:val="3"/>
        </w:numPr>
        <w:spacing w:line="360" w:lineRule="auto"/>
        <w:jc w:val="both"/>
      </w:pPr>
      <w:r>
        <w:rPr>
          <w:rFonts w:ascii="Arial" w:hAnsi="Arial" w:cs="Arial"/>
          <w:lang w:val="es-MX"/>
        </w:rPr>
        <w:t xml:space="preserve">Banco de México. (2026, 20 de agosto). </w:t>
      </w:r>
      <w:r>
        <w:rPr>
          <w:rFonts w:ascii="Arial" w:hAnsi="Arial" w:cs="Arial"/>
          <w:i/>
          <w:lang w:val="es-MX"/>
        </w:rPr>
        <w:t xml:space="preserve">Evolución del financiamiento a las empresas durante el trimestre abril-junio de 2026</w:t>
      </w:r>
      <w:r>
        <w:rPr>
          <w:rFonts w:ascii="Arial" w:hAnsi="Arial" w:cs="Arial"/>
          <w:lang w:val="es-MX"/>
        </w:rPr>
        <w:t xml:space="preserve"> [Comunicado de prensa]. </w:t>
      </w:r>
      <w:hyperlink r:id="rId51" w:history="1">
        <w:r>
          <w:rPr>
            <w:rStyle w:val="Hipervnculo"/>
            <w:rFonts w:ascii="Arial" w:hAnsi="Arial" w:cs="Arial"/>
            <w:lang w:val="es-MX"/>
          </w:rPr>
          <w:t xml:space="preserve">Banxico</w:t>
        </w:r>
      </w:hyperlink>
    </w:p>
    <w:p>
      <w:pPr>
        <w:pStyle w:val="Prrafodelista"/>
        <w:numPr>
          <w:ilvl w:val="0"/>
          <w:numId w:val="3"/>
        </w:numPr>
        <w:spacing w:line="360" w:lineRule="auto"/>
        <w:jc w:val="both"/>
      </w:pPr>
      <w:r>
        <w:rPr>
          <w:rFonts w:ascii="Arial" w:hAnsi="Arial" w:cs="Arial"/>
          <w:lang w:val="es-MX"/>
        </w:rPr>
        <w:t xml:space="preserve">Banco de México. (2026). </w:t>
      </w:r>
      <w:r>
        <w:rPr>
          <w:rFonts w:ascii="Arial" w:hAnsi="Arial" w:cs="Arial"/>
          <w:i/>
          <w:lang w:val="es-MX"/>
        </w:rPr>
        <w:t xml:space="preserve">Sistema de Información Económica: resultados de la encuesta de evaluación coyuntural del mercado crediticio; TIIE a 28 días</w:t>
      </w:r>
      <w:r>
        <w:rPr>
          <w:rFonts w:ascii="Arial" w:hAnsi="Arial" w:cs="Arial"/>
          <w:lang w:val="es-MX"/>
        </w:rPr>
        <w:t xml:space="preserve"> [Base de datos, consultada el 14 de octubre de 2026]. </w:t>
      </w:r>
      <w:hyperlink r:id="rId52" w:history="1">
        <w:r>
          <w:rPr>
            <w:rStyle w:val="Hipervnculo"/>
            <w:rFonts w:ascii="Arial" w:hAnsi="Arial" w:cs="Arial"/>
            <w:lang w:val="es-MX"/>
          </w:rPr>
          <w:t xml:space="preserve">SIE</w:t>
        </w:r>
      </w:hyperlink>
    </w:p>
    <w:p w14:paraId="51D8D0BB" w14:textId="77777777" w:rsidR="00EB77EF" w:rsidRPr="00F5611F" w:rsidRDefault="00000000" w:rsidP="00F5611F">
      <w:pPr>
        <w:pStyle w:val="Prrafodelista"/>
        <w:numPr>
          <w:ilvl w:val="0"/>
          <w:numId w:val="3"/>
        </w:numPr>
        <w:spacing w:line="360" w:lineRule="auto"/>
        <w:jc w:val="both"/>
        <w:rPr>
          <w:rFonts w:ascii="Arial" w:hAnsi="Arial" w:cs="Arial"/>
          <w:lang w:val="es-MX"/>
        </w:rPr>
      </w:pPr>
      <w:r w:rsidRPr="00F5611F">
        <w:rPr>
          <w:rFonts w:ascii="Arial" w:hAnsi="Arial" w:cs="Arial"/>
          <w:lang w:val="es-MX"/>
        </w:rPr>
        <w:t xml:space="preserve">Comisión Nacional Bancaria y de Valores. (2023). </w:t>
      </w:r>
      <w:r w:rsidRPr="00F5611F">
        <w:rPr>
          <w:rFonts w:ascii="Arial" w:hAnsi="Arial" w:cs="Arial"/>
          <w:i/>
          <w:lang w:val="es-MX"/>
        </w:rPr>
        <w:t>Estudios Económicos CNBV, vol. 5</w:t>
      </w:r>
      <w:r w:rsidRPr="00F5611F">
        <w:rPr>
          <w:rFonts w:ascii="Arial" w:hAnsi="Arial" w:cs="Arial"/>
          <w:lang w:val="es-MX"/>
        </w:rPr>
        <w:t xml:space="preserve">. </w:t>
      </w:r>
      <w:hyperlink r:id="rId35" w:history="1">
        <w:r w:rsidR="00EB77EF" w:rsidRPr="00F5611F">
          <w:rPr>
            <w:rStyle w:val="Hipervnculo"/>
            <w:rFonts w:ascii="Arial" w:hAnsi="Arial" w:cs="Arial"/>
            <w:lang w:val="es-MX"/>
          </w:rPr>
          <w:t>gob.mx</w:t>
        </w:r>
      </w:hyperlink>
    </w:p>
    <w:p w14:paraId="05CC7865" w14:textId="77777777" w:rsidR="00EB77EF" w:rsidRPr="00F5611F" w:rsidRDefault="00000000" w:rsidP="00F5611F">
      <w:pPr>
        <w:pStyle w:val="Prrafodelista"/>
        <w:numPr>
          <w:ilvl w:val="0"/>
          <w:numId w:val="3"/>
        </w:numPr>
        <w:spacing w:line="360" w:lineRule="auto"/>
        <w:jc w:val="both"/>
        <w:rPr>
          <w:rFonts w:ascii="Arial" w:hAnsi="Arial" w:cs="Arial"/>
        </w:rPr>
      </w:pPr>
      <w:r w:rsidRPr="00F5611F">
        <w:rPr>
          <w:rFonts w:ascii="Arial" w:hAnsi="Arial" w:cs="Arial"/>
          <w:lang w:val="es-MX"/>
        </w:rPr>
        <w:t xml:space="preserve">Instituto Nacional de Estadística y Geografía. (2025). </w:t>
      </w:r>
      <w:r w:rsidRPr="00F5611F">
        <w:rPr>
          <w:rFonts w:ascii="Arial" w:hAnsi="Arial" w:cs="Arial"/>
          <w:i/>
          <w:lang w:val="es-MX"/>
        </w:rPr>
        <w:t>Encuesta Nacional de Financiamiento de las Empresas (ENAFIN) 2024: Reporte de resultados</w:t>
      </w:r>
      <w:r w:rsidRPr="00F5611F">
        <w:rPr>
          <w:rFonts w:ascii="Arial" w:hAnsi="Arial" w:cs="Arial"/>
          <w:lang w:val="es-MX"/>
        </w:rPr>
        <w:t xml:space="preserve">. </w:t>
      </w:r>
      <w:hyperlink r:id="rId36" w:history="1">
        <w:r w:rsidR="00EB77EF" w:rsidRPr="00F5611F">
          <w:rPr>
            <w:rStyle w:val="Hipervnculo"/>
            <w:rFonts w:ascii="Arial" w:hAnsi="Arial" w:cs="Arial"/>
          </w:rPr>
          <w:t>INEGI</w:t>
        </w:r>
      </w:hyperlink>
    </w:p>
    <w:p w14:paraId="103361BB" w14:textId="77777777" w:rsidR="00EB77EF" w:rsidRPr="00F5611F" w:rsidRDefault="00000000" w:rsidP="00F5611F">
      <w:pPr>
        <w:pStyle w:val="Prrafodelista"/>
        <w:numPr>
          <w:ilvl w:val="0"/>
          <w:numId w:val="3"/>
        </w:numPr>
        <w:spacing w:line="360" w:lineRule="auto"/>
        <w:jc w:val="both"/>
        <w:rPr>
          <w:rFonts w:ascii="Arial" w:hAnsi="Arial" w:cs="Arial"/>
        </w:rPr>
      </w:pPr>
      <w:r w:rsidRPr="00F5611F">
        <w:rPr>
          <w:rFonts w:ascii="Arial" w:hAnsi="Arial" w:cs="Arial"/>
          <w:lang w:val="es-MX"/>
        </w:rPr>
        <w:t xml:space="preserve">Lecuona, R. (2016). </w:t>
      </w:r>
      <w:r w:rsidRPr="00F5611F">
        <w:rPr>
          <w:rFonts w:ascii="Arial" w:hAnsi="Arial" w:cs="Arial"/>
          <w:i/>
          <w:lang w:val="es-MX"/>
        </w:rPr>
        <w:t>Promoción de finanzas incluyentes mediante prácticas innovadoras de la banca de desarrollo: el caso de las pymes en México</w:t>
      </w:r>
      <w:r w:rsidRPr="00F5611F">
        <w:rPr>
          <w:rFonts w:ascii="Arial" w:hAnsi="Arial" w:cs="Arial"/>
          <w:lang w:val="es-MX"/>
        </w:rPr>
        <w:t xml:space="preserve"> (LC/L.4249). </w:t>
      </w:r>
      <w:r w:rsidRPr="00F5611F">
        <w:rPr>
          <w:rFonts w:ascii="Arial" w:hAnsi="Arial" w:cs="Arial"/>
        </w:rPr>
        <w:t xml:space="preserve">CEPAL. </w:t>
      </w:r>
      <w:hyperlink r:id="rId37" w:history="1">
        <w:r w:rsidR="00EB77EF" w:rsidRPr="00F5611F">
          <w:rPr>
            <w:rStyle w:val="Hipervnculo"/>
            <w:rFonts w:ascii="Arial" w:hAnsi="Arial" w:cs="Arial"/>
          </w:rPr>
          <w:t>CEPAL</w:t>
        </w:r>
      </w:hyperlink>
    </w:p>
    <w:p w14:paraId="1E390EC3" w14:textId="77777777" w:rsidR="00EB77EF" w:rsidRPr="00F5611F" w:rsidRDefault="00000000" w:rsidP="00F5611F">
      <w:pPr>
        <w:pStyle w:val="Prrafodelista"/>
        <w:numPr>
          <w:ilvl w:val="0"/>
          <w:numId w:val="3"/>
        </w:numPr>
        <w:spacing w:line="360" w:lineRule="auto"/>
        <w:jc w:val="both"/>
        <w:rPr>
          <w:rFonts w:ascii="Arial" w:hAnsi="Arial" w:cs="Arial"/>
        </w:rPr>
      </w:pPr>
      <w:r w:rsidRPr="00F5611F">
        <w:rPr>
          <w:rFonts w:ascii="Arial" w:hAnsi="Arial" w:cs="Arial"/>
          <w:lang w:val="es-MX"/>
        </w:rPr>
        <w:t xml:space="preserve">Pavón Cuéllar, L. I. (2016). </w:t>
      </w:r>
      <w:r w:rsidRPr="00F5611F">
        <w:rPr>
          <w:rFonts w:ascii="Arial" w:hAnsi="Arial" w:cs="Arial"/>
          <w:i/>
          <w:lang w:val="es-MX"/>
        </w:rPr>
        <w:t>Inclusión financiera de las pymes en el Ecuador y México</w:t>
      </w:r>
      <w:r w:rsidRPr="00F5611F">
        <w:rPr>
          <w:rFonts w:ascii="Arial" w:hAnsi="Arial" w:cs="Arial"/>
          <w:lang w:val="es-MX"/>
        </w:rPr>
        <w:t xml:space="preserve"> (Serie Financiamiento para el Desarrollo 263). </w:t>
      </w:r>
      <w:r w:rsidRPr="00F5611F">
        <w:rPr>
          <w:rFonts w:ascii="Arial" w:hAnsi="Arial" w:cs="Arial"/>
        </w:rPr>
        <w:t xml:space="preserve">CEPAL. </w:t>
      </w:r>
      <w:hyperlink r:id="rId38" w:history="1">
        <w:r w:rsidR="00EB77EF" w:rsidRPr="00F5611F">
          <w:rPr>
            <w:rStyle w:val="Hipervnculo"/>
            <w:rFonts w:ascii="Arial" w:hAnsi="Arial" w:cs="Arial"/>
          </w:rPr>
          <w:t>CEPAL</w:t>
        </w:r>
      </w:hyperlink>
    </w:p>
    <w:p w14:paraId="0DF821CA" w14:textId="77777777" w:rsidR="00EB77EF" w:rsidRPr="00F5611F" w:rsidRDefault="00000000" w:rsidP="00F5611F">
      <w:pPr>
        <w:pStyle w:val="Prrafodelista"/>
        <w:numPr>
          <w:ilvl w:val="0"/>
          <w:numId w:val="3"/>
        </w:numPr>
        <w:spacing w:line="360" w:lineRule="auto"/>
        <w:jc w:val="both"/>
        <w:rPr>
          <w:rFonts w:ascii="Arial" w:hAnsi="Arial" w:cs="Arial"/>
        </w:rPr>
      </w:pPr>
      <w:r w:rsidRPr="00F5611F">
        <w:rPr>
          <w:rFonts w:ascii="Arial" w:hAnsi="Arial" w:cs="Arial"/>
          <w:lang w:val="es-MX"/>
        </w:rPr>
        <w:t xml:space="preserve">Pérez Caldentey, E., Cipoletta Tomassian, G., y Abdo, T. </w:t>
      </w:r>
      <w:r w:rsidRPr="00F5611F">
        <w:rPr>
          <w:rFonts w:ascii="Arial" w:hAnsi="Arial" w:cs="Arial"/>
          <w:i/>
          <w:lang w:val="es-MX"/>
        </w:rPr>
        <w:t>Inclusión financiera de las pymes en América Latina</w:t>
      </w:r>
      <w:r w:rsidRPr="00F5611F">
        <w:rPr>
          <w:rFonts w:ascii="Arial" w:hAnsi="Arial" w:cs="Arial"/>
          <w:lang w:val="es-MX"/>
        </w:rPr>
        <w:t xml:space="preserve">. </w:t>
      </w:r>
      <w:r w:rsidRPr="00F5611F">
        <w:rPr>
          <w:rFonts w:ascii="Arial" w:hAnsi="Arial" w:cs="Arial"/>
        </w:rPr>
        <w:t xml:space="preserve">Universidad Andina Simón Bolívar. </w:t>
      </w:r>
      <w:hyperlink r:id="rId39" w:history="1">
        <w:r w:rsidR="00EB77EF" w:rsidRPr="00F5611F">
          <w:rPr>
            <w:rStyle w:val="Hipervnculo"/>
            <w:rFonts w:ascii="Arial" w:hAnsi="Arial" w:cs="Arial"/>
          </w:rPr>
          <w:t>UASB</w:t>
        </w:r>
      </w:hyperlink>
    </w:p>
    <w:p w14:paraId="0334F8C9" w14:textId="77777777" w:rsidR="00EB77EF" w:rsidRPr="00341CD7" w:rsidRDefault="00000000" w:rsidP="00F5611F">
      <w:pPr>
        <w:spacing w:line="360" w:lineRule="auto"/>
        <w:jc w:val="both"/>
        <w:rPr>
          <w:rFonts w:ascii="Arial" w:hAnsi="Arial" w:cs="Arial"/>
          <w:lang w:val="es-MX"/>
        </w:rPr>
      </w:pPr>
      <w:r w:rsidRPr="00341CD7">
        <w:rPr>
          <w:rFonts w:ascii="Arial" w:hAnsi="Arial" w:cs="Arial"/>
          <w:b/>
          <w:lang w:val="es-MX"/>
        </w:rPr>
        <w:t>Notas de prensa citadas sobre Plan México:</w:t>
      </w:r>
      <w:r w:rsidRPr="00341CD7">
        <w:rPr>
          <w:rFonts w:ascii="Arial" w:hAnsi="Arial" w:cs="Arial"/>
          <w:lang w:val="es-MX"/>
        </w:rPr>
        <w:t xml:space="preserve"> </w:t>
      </w:r>
      <w:hyperlink r:id="rId40" w:history="1">
        <w:r w:rsidR="00EB77EF" w:rsidRPr="00341CD7">
          <w:rPr>
            <w:rStyle w:val="Hipervnculo"/>
            <w:rFonts w:ascii="Arial" w:hAnsi="Arial" w:cs="Arial"/>
            <w:lang w:val="es-MX"/>
          </w:rPr>
          <w:t>Excélsior</w:t>
        </w:r>
      </w:hyperlink>
      <w:r w:rsidRPr="00341CD7">
        <w:rPr>
          <w:rFonts w:ascii="Arial" w:hAnsi="Arial" w:cs="Arial"/>
          <w:lang w:val="es-MX"/>
        </w:rPr>
        <w:t xml:space="preserve">, </w:t>
      </w:r>
      <w:hyperlink r:id="rId41" w:history="1">
        <w:r w:rsidR="00EB77EF" w:rsidRPr="00341CD7">
          <w:rPr>
            <w:rStyle w:val="Hipervnculo"/>
            <w:rFonts w:ascii="Arial" w:hAnsi="Arial" w:cs="Arial"/>
            <w:lang w:val="es-MX"/>
          </w:rPr>
          <w:t>Expansión</w:t>
        </w:r>
      </w:hyperlink>
      <w:r w:rsidRPr="00341CD7">
        <w:rPr>
          <w:rFonts w:ascii="Arial" w:hAnsi="Arial" w:cs="Arial"/>
          <w:lang w:val="es-MX"/>
        </w:rPr>
        <w:t xml:space="preserve">, </w:t>
      </w:r>
      <w:hyperlink r:id="rId42" w:history="1">
        <w:r w:rsidR="00EB77EF" w:rsidRPr="00341CD7">
          <w:rPr>
            <w:rStyle w:val="Hipervnculo"/>
            <w:rFonts w:ascii="Arial" w:hAnsi="Arial" w:cs="Arial"/>
            <w:lang w:val="es-MX"/>
          </w:rPr>
          <w:t>Milenio</w:t>
        </w:r>
      </w:hyperlink>
      <w:r w:rsidRPr="00341CD7">
        <w:rPr>
          <w:rFonts w:ascii="Arial" w:hAnsi="Arial" w:cs="Arial"/>
          <w:lang w:val="es-MX"/>
        </w:rPr>
        <w:t xml:space="preserve">, </w:t>
      </w:r>
      <w:hyperlink r:id="rId43" w:history="1">
        <w:r w:rsidR="00EB77EF" w:rsidRPr="00341CD7">
          <w:rPr>
            <w:rStyle w:val="Hipervnculo"/>
            <w:rFonts w:ascii="Arial" w:hAnsi="Arial" w:cs="Arial"/>
            <w:lang w:val="es-MX"/>
          </w:rPr>
          <w:t>El Financiero</w:t>
        </w:r>
      </w:hyperlink>
      <w:r w:rsidRPr="00341CD7">
        <w:rPr>
          <w:rFonts w:ascii="Arial" w:hAnsi="Arial" w:cs="Arial"/>
          <w:lang w:val="es-MX"/>
        </w:rPr>
        <w:t xml:space="preserve">, </w:t>
      </w:r>
      <w:hyperlink r:id="rId44" w:history="1">
        <w:r w:rsidR="00EB77EF" w:rsidRPr="00341CD7">
          <w:rPr>
            <w:rStyle w:val="Hipervnculo"/>
            <w:rFonts w:ascii="Arial" w:hAnsi="Arial" w:cs="Arial"/>
            <w:lang w:val="es-MX"/>
          </w:rPr>
          <w:t>N+</w:t>
        </w:r>
      </w:hyperlink>
      <w:r w:rsidRPr="00341CD7">
        <w:rPr>
          <w:rFonts w:ascii="Arial" w:hAnsi="Arial" w:cs="Arial"/>
          <w:lang w:val="es-MX"/>
        </w:rPr>
        <w:t>.</w:t>
      </w:r>
    </w:p>
    <w:sectPr w:rsidR="00EB77EF" w:rsidRPr="00341C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9D0891"/>
    <w:multiLevelType w:val="multilevel"/>
    <w:tmpl w:val="ABAC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C5BFD"/>
    <w:multiLevelType w:val="multilevel"/>
    <w:tmpl w:val="70A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07212"/>
    <w:multiLevelType w:val="hybridMultilevel"/>
    <w:tmpl w:val="FE940E3A"/>
    <w:lvl w:ilvl="0" w:tplc="19A8A520">
      <w:start w:val="1"/>
      <w:numFmt w:val="bullet"/>
      <w:lvlText w:val="•"/>
      <w:lvlJc w:val="left"/>
      <w:pPr>
        <w:ind w:left="720" w:hanging="360"/>
      </w:pPr>
    </w:lvl>
    <w:lvl w:ilvl="1" w:tplc="359AD5F2">
      <w:start w:val="1"/>
      <w:numFmt w:val="bullet"/>
      <w:lvlText w:val="o"/>
      <w:lvlJc w:val="left"/>
      <w:pPr>
        <w:ind w:left="1440" w:hanging="360"/>
      </w:pPr>
    </w:lvl>
    <w:lvl w:ilvl="2" w:tplc="47086902">
      <w:start w:val="1"/>
      <w:numFmt w:val="bullet"/>
      <w:lvlText w:val="▪"/>
      <w:lvlJc w:val="left"/>
      <w:pPr>
        <w:ind w:left="2160" w:hanging="360"/>
      </w:pPr>
    </w:lvl>
    <w:lvl w:ilvl="3" w:tplc="D2C0CBB8">
      <w:start w:val="1"/>
      <w:numFmt w:val="bullet"/>
      <w:lvlText w:val="•"/>
      <w:lvlJc w:val="left"/>
      <w:pPr>
        <w:ind w:left="2880" w:hanging="360"/>
      </w:pPr>
    </w:lvl>
    <w:lvl w:ilvl="4" w:tplc="C9C64342">
      <w:start w:val="1"/>
      <w:numFmt w:val="bullet"/>
      <w:lvlText w:val="o"/>
      <w:lvlJc w:val="left"/>
      <w:pPr>
        <w:ind w:left="3600" w:hanging="360"/>
      </w:pPr>
    </w:lvl>
    <w:lvl w:ilvl="5" w:tplc="B8287734">
      <w:start w:val="1"/>
      <w:numFmt w:val="bullet"/>
      <w:lvlText w:val="▪"/>
      <w:lvlJc w:val="left"/>
      <w:pPr>
        <w:ind w:left="4320" w:hanging="360"/>
      </w:pPr>
    </w:lvl>
    <w:lvl w:ilvl="6" w:tplc="613488AE">
      <w:start w:val="1"/>
      <w:numFmt w:val="bullet"/>
      <w:lvlText w:val="•"/>
      <w:lvlJc w:val="left"/>
      <w:pPr>
        <w:ind w:left="5040" w:hanging="360"/>
      </w:pPr>
    </w:lvl>
    <w:lvl w:ilvl="7" w:tplc="08EC98BC">
      <w:start w:val="1"/>
      <w:numFmt w:val="bullet"/>
      <w:lvlText w:val="o"/>
      <w:lvlJc w:val="left"/>
      <w:pPr>
        <w:ind w:left="5760" w:hanging="360"/>
      </w:pPr>
    </w:lvl>
    <w:lvl w:ilvl="8" w:tplc="0F7C6636">
      <w:start w:val="1"/>
      <w:numFmt w:val="bullet"/>
      <w:lvlText w:val="▪"/>
      <w:lvlJc w:val="left"/>
      <w:pPr>
        <w:ind w:left="6480" w:hanging="360"/>
      </w:pPr>
    </w:lvl>
  </w:abstractNum>
  <w:abstractNum w:abstractNumId="3" w15:restartNumberingAfterBreak="0">
    <w:nsid w:val="626218AC"/>
    <w:multiLevelType w:val="hybridMultilevel"/>
    <w:tmpl w:val="5E22B2EE"/>
    <w:lvl w:ilvl="0" w:tplc="F5AA1DB8">
      <w:start w:val="1"/>
      <w:numFmt w:val="decimal"/>
      <w:lvlText w:val="%1."/>
      <w:lvlJc w:val="left"/>
      <w:pPr>
        <w:ind w:left="720" w:hanging="360"/>
      </w:pPr>
    </w:lvl>
    <w:lvl w:ilvl="1" w:tplc="5B16E872">
      <w:start w:val="1"/>
      <w:numFmt w:val="lowerLetter"/>
      <w:lvlText w:val="%2."/>
      <w:lvlJc w:val="left"/>
      <w:pPr>
        <w:ind w:left="1440" w:hanging="360"/>
      </w:pPr>
    </w:lvl>
    <w:lvl w:ilvl="2" w:tplc="054EE380">
      <w:start w:val="1"/>
      <w:numFmt w:val="lowerRoman"/>
      <w:lvlText w:val="%3."/>
      <w:lvlJc w:val="left"/>
      <w:pPr>
        <w:ind w:left="2160" w:hanging="360"/>
      </w:pPr>
    </w:lvl>
    <w:lvl w:ilvl="3" w:tplc="4EAEE528">
      <w:start w:val="1"/>
      <w:numFmt w:val="decimal"/>
      <w:lvlText w:val="%4."/>
      <w:lvlJc w:val="left"/>
      <w:pPr>
        <w:ind w:left="2880" w:hanging="360"/>
      </w:pPr>
    </w:lvl>
    <w:lvl w:ilvl="4" w:tplc="CCD45BA4">
      <w:start w:val="1"/>
      <w:numFmt w:val="lowerLetter"/>
      <w:lvlText w:val="%5."/>
      <w:lvlJc w:val="left"/>
      <w:pPr>
        <w:ind w:left="3600" w:hanging="360"/>
      </w:pPr>
    </w:lvl>
    <w:lvl w:ilvl="5" w:tplc="27403CA8">
      <w:start w:val="1"/>
      <w:numFmt w:val="lowerRoman"/>
      <w:lvlText w:val="%6."/>
      <w:lvlJc w:val="left"/>
      <w:pPr>
        <w:ind w:left="4320" w:hanging="360"/>
      </w:pPr>
    </w:lvl>
    <w:lvl w:ilvl="6" w:tplc="84C6141C">
      <w:start w:val="1"/>
      <w:numFmt w:val="decimal"/>
      <w:lvlText w:val="%7."/>
      <w:lvlJc w:val="left"/>
      <w:pPr>
        <w:ind w:left="5040" w:hanging="360"/>
      </w:pPr>
    </w:lvl>
    <w:lvl w:ilvl="7" w:tplc="F7808BE6">
      <w:start w:val="1"/>
      <w:numFmt w:val="lowerLetter"/>
      <w:lvlText w:val="%8."/>
      <w:lvlJc w:val="left"/>
      <w:pPr>
        <w:ind w:left="5760" w:hanging="360"/>
      </w:pPr>
    </w:lvl>
    <w:lvl w:ilvl="8" w:tplc="9B548534">
      <w:start w:val="1"/>
      <w:numFmt w:val="lowerRoman"/>
      <w:lvlText w:val="%9."/>
      <w:lvlJc w:val="left"/>
      <w:pPr>
        <w:ind w:left="6480" w:hanging="360"/>
      </w:pPr>
    </w:lvl>
  </w:abstractNum>
  <w:num w:numId="1" w16cid:durableId="1400205673">
    <w:abstractNumId w:val="2"/>
  </w:num>
  <w:num w:numId="2" w16cid:durableId="1720207394">
    <w:abstractNumId w:val="2"/>
  </w:num>
  <w:num w:numId="3" w16cid:durableId="310595613">
    <w:abstractNumId w:val="2"/>
  </w:num>
  <w:num w:numId="4" w16cid:durableId="1427339089">
    <w:abstractNumId w:val="0"/>
  </w:num>
  <w:num w:numId="5" w16cid:durableId="12442185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EF"/>
    <w:rsid w:val="00341CD7"/>
    <w:rsid w:val="0047509B"/>
    <w:rsid w:val="0050250E"/>
    <w:rsid w:val="00D35D9A"/>
    <w:rsid w:val="00EB77EF"/>
    <w:rsid w:val="00F561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813220C"/>
  <w15:docId w15:val="{20172420-7806-7D4D-9455-AB2FD0CE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1CD7"/>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nfasis">
    <w:name w:val="Emphasis"/>
    <w:basedOn w:val="Fuentedeprrafopredeter"/>
    <w:uiPriority w:val="20"/>
    <w:qFormat/>
    <w:rsid w:val="00341C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gr-remef.remef.org.mx/index.php/remef/article/view/311/587" TargetMode="External"/><Relationship Id="rId18" Type="http://schemas.openxmlformats.org/officeDocument/2006/relationships/hyperlink" Target="https://expansion.mx/economia/2026/03/19/sheinbaum-pide-a-banqueros-elevar-a-45-el-financiamiento-a-pymes" TargetMode="External"/><Relationship Id="rId26" Type="http://schemas.openxmlformats.org/officeDocument/2006/relationships/hyperlink" Target="https://abm.org.mx/sala-de-prensa/sintesis/historial/sintesis_2025_01_14.pdf" TargetMode="External"/><Relationship Id="rId39" Type="http://schemas.openxmlformats.org/officeDocument/2006/relationships/hyperlink" Target="https://libros.uasb.edu.ec/index.php/publicaciones/es/catalog/download/64/337/799?inline=1" TargetMode="External"/><Relationship Id="rId21" Type="http://schemas.openxmlformats.org/officeDocument/2006/relationships/hyperlink" Target="https://www.elfinanciero.com.mx/monterrey/2025/09/11/apoya-banca-de-desarrollo-a-174-sofomes-con-138-mil-mdp/" TargetMode="External"/><Relationship Id="rId34" Type="http://schemas.openxmlformats.org/officeDocument/2006/relationships/hyperlink" Target="https://abm.org.mx/sala-de-prensa/historico/Comunicado_08_05_2025.pdf" TargetMode="External"/><Relationship Id="rId42" Type="http://schemas.openxmlformats.org/officeDocument/2006/relationships/hyperlink" Target="https://www.milenio.com/negocios/sheinbaum-destaca-aumento-credito-45-pib-2030" TargetMode="External"/><Relationship Id="rId7" Type="http://schemas.openxmlformats.org/officeDocument/2006/relationships/hyperlink" Target="https://vinculategica.uanl.mx/index.php/v/article/download/1279/1211/8059" TargetMode="External"/><Relationship Id="rId2" Type="http://schemas.openxmlformats.org/officeDocument/2006/relationships/styles" Target="styles.xml"/><Relationship Id="rId16" Type="http://schemas.openxmlformats.org/officeDocument/2006/relationships/hyperlink" Target="https://catalog.ihsn.org/citations/30092" TargetMode="External"/><Relationship Id="rId29" Type="http://schemas.openxmlformats.org/officeDocument/2006/relationships/hyperlink" Target="https://www.redalyc.org/journal/413/41365966006/41365966006.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repository.uaeh.edu.mx/revistas/index.php/sahagun/article/view/10772" TargetMode="External"/><Relationship Id="rId24" Type="http://schemas.openxmlformats.org/officeDocument/2006/relationships/hyperlink" Target="https://www.excelsior.com.mx/nacional/gobierno-de-mexico-y-asociacion-de-bancos-acuerdan-incrementar-financiamiento-de-pymes" TargetMode="External"/><Relationship Id="rId32" Type="http://schemas.openxmlformats.org/officeDocument/2006/relationships/hyperlink" Target="https://is.uv.mx/index.php/IS/article/download/3006/4807/14224" TargetMode="External"/><Relationship Id="rId37" Type="http://schemas.openxmlformats.org/officeDocument/2006/relationships/hyperlink" Target="https://www.cepal.org/pt-br/node/39690" TargetMode="External"/><Relationship Id="rId40" Type="http://schemas.openxmlformats.org/officeDocument/2006/relationships/hyperlink" Target="https://www.excelsior.com.mx/nacional/gobierno-de-mexico-y-asociacion-de-bancos-acuerdan-incrementar-financiamiento-de-pymes" TargetMode="External"/><Relationship Id="rId45" Type="http://schemas.openxmlformats.org/officeDocument/2006/relationships/fontTable" Target="fontTable.xml"/><Relationship Id="rId5" Type="http://schemas.openxmlformats.org/officeDocument/2006/relationships/hyperlink" Target="https://www.inegi.org.mx/contenidos/saladeprensa/boletines/2025/enafin/ENAFIN_24_RR.pdf" TargetMode="External"/><Relationship Id="rId15" Type="http://schemas.openxmlformats.org/officeDocument/2006/relationships/hyperlink" Target="https://www.scielo.org.mx/pdf/cya/v61n4/0186-1042-cya-61-04-00777.pdf" TargetMode="External"/><Relationship Id="rId23" Type="http://schemas.openxmlformats.org/officeDocument/2006/relationships/hyperlink" Target="https://abm.org.mx/sala-de-prensa/historico/Comunicado_08_05_2025.pdf" TargetMode="External"/><Relationship Id="rId28" Type="http://schemas.openxmlformats.org/officeDocument/2006/relationships/hyperlink" Target="https://vinculategica.uanl.mx/index.php/v/article/download/1279/1211/8059" TargetMode="External"/><Relationship Id="rId36" Type="http://schemas.openxmlformats.org/officeDocument/2006/relationships/hyperlink" Target="https://www.inegi.org.mx/contenidos/saladeprensa/boletines/2025/enafin/ENAFIN_24_RR.pdf" TargetMode="External"/><Relationship Id="rId10" Type="http://schemas.openxmlformats.org/officeDocument/2006/relationships/hyperlink" Target="https://revistahitos.ujat.mx/index.php/hitos/article/download/5725/4237" TargetMode="External"/><Relationship Id="rId19" Type="http://schemas.openxmlformats.org/officeDocument/2006/relationships/hyperlink" Target="https://expansion.mx/economia/2026/03/25/los-acuerdos-de-la-89-convencion-bancaria-mas-financiamiento-y-certeza-juridica" TargetMode="External"/><Relationship Id="rId31" Type="http://schemas.openxmlformats.org/officeDocument/2006/relationships/hyperlink" Target="https://www.remef.org.mx/index.php/remef/article/download/1025/1008" TargetMode="External"/><Relationship Id="rId44" Type="http://schemas.openxmlformats.org/officeDocument/2006/relationships/hyperlink" Target="https://www.nmas.com.mx/politica/presentacion-plan-mexico-sheinbaum-en-que-consiste-estrategia-economica-2024-2030" TargetMode="External"/><Relationship Id="rId4" Type="http://schemas.openxmlformats.org/officeDocument/2006/relationships/webSettings" Target="webSettings.xml"/><Relationship Id="rId9" Type="http://schemas.openxmlformats.org/officeDocument/2006/relationships/hyperlink" Target="https://www.preprints.org/manuscript/202309.0691" TargetMode="External"/><Relationship Id="rId14" Type="http://schemas.openxmlformats.org/officeDocument/2006/relationships/hyperlink" Target="https://repositorio.uca.edu.ar/bitstream/123456789/9277/1/fintech-inclusion-financiera-casos.pdf" TargetMode="External"/><Relationship Id="rId22" Type="http://schemas.openxmlformats.org/officeDocument/2006/relationships/hyperlink" Target="https://www.milenio.com/temas/bancomext" TargetMode="External"/><Relationship Id="rId27" Type="http://schemas.openxmlformats.org/officeDocument/2006/relationships/hyperlink" Target="https://www.scielo.org.mx/pdf/cya/v61n4/0186-1042-cya-61-04-00777.pdf" TargetMode="External"/><Relationship Id="rId30" Type="http://schemas.openxmlformats.org/officeDocument/2006/relationships/hyperlink" Target="https://catalog.ihsn.org/citations/30092" TargetMode="External"/><Relationship Id="rId35" Type="http://schemas.openxmlformats.org/officeDocument/2006/relationships/hyperlink" Target="https://www.gob.mx/cms/uploads/attachment/file/846226/Estudios_Econ_micos_CNBV_-_Vol._5__2023.pdf" TargetMode="External"/><Relationship Id="rId43" Type="http://schemas.openxmlformats.org/officeDocument/2006/relationships/hyperlink" Target="https://www.elfinanciero.com.mx/monterrey/2025/09/11/apoya-banca-de-desarrollo-a-174-sofomes-con-138-mil-mdp/" TargetMode="External"/><Relationship Id="rId8" Type="http://schemas.openxmlformats.org/officeDocument/2006/relationships/hyperlink" Target="https://www.remef.org.mx/index.php/remef/article/download/1025/1008" TargetMode="External"/><Relationship Id="rId3" Type="http://schemas.openxmlformats.org/officeDocument/2006/relationships/settings" Target="settings.xml"/><Relationship Id="rId12" Type="http://schemas.openxmlformats.org/officeDocument/2006/relationships/hyperlink" Target="https://www.redalyc.org/journal/413/41365966006/41365966006.pdf" TargetMode="External"/><Relationship Id="rId17" Type="http://schemas.openxmlformats.org/officeDocument/2006/relationships/hyperlink" Target="https://www.milenio.com/negocios/sheinbaum-destaca-aumento-credito-45-pib-2030" TargetMode="External"/><Relationship Id="rId25" Type="http://schemas.openxmlformats.org/officeDocument/2006/relationships/hyperlink" Target="https://www.razon.com.mx/negocios/2025/05/07/banorte-anuncia-reduccion-a-tasas-de-financiamiento-para-el-producto-mujerpyme/" TargetMode="External"/><Relationship Id="rId33" Type="http://schemas.openxmlformats.org/officeDocument/2006/relationships/hyperlink" Target="https://www.abm.org.mx/sala-de-prensa/img/fotogaleria/Comunicado_de_prensa_ABM_26022025.pdf" TargetMode="External"/><Relationship Id="rId38" Type="http://schemas.openxmlformats.org/officeDocument/2006/relationships/hyperlink" Target="https://repositorio.cepal.org/bitstream/handle/11362/40848/S1601083_es.pdf?sequence=1" TargetMode="External"/><Relationship Id="rId46" Type="http://schemas.openxmlformats.org/officeDocument/2006/relationships/theme" Target="theme/theme1.xml"/><Relationship Id="rId20" Type="http://schemas.openxmlformats.org/officeDocument/2006/relationships/hyperlink" Target="https://www.bbva.com/es/mx/bbva-mexico-se-suma-a-crece-tu-mipyme-con-pagos-digitales-iniciativa-de-secretaria-de-economia-y-visa/" TargetMode="External"/><Relationship Id="rId41" Type="http://schemas.openxmlformats.org/officeDocument/2006/relationships/hyperlink" Target="https://expansion.mx/economia/2026/03/23/bancos-ven-posible-llevar-el-credito-a-pymes-a-45-del-pib-pero-tomara-tiempo" TargetMode="External"/><Relationship Id="rId47" Type="http://schemas.openxmlformats.org/officeDocument/2006/relationships/image" Target="media/image2.png"/><Relationship Id="rId48" Type="http://schemas.openxmlformats.org/officeDocument/2006/relationships/image" Target="media/image3.png"/><Relationship Id="rId49" Type="http://schemas.openxmlformats.org/officeDocument/2006/relationships/image" Target="media/image4.png"/><Relationship Id="rId50" Type="http://schemas.openxmlformats.org/officeDocument/2006/relationships/hyperlink" Target="https://www.banxico.org.mx/publicaciones-y-prensa/evolucion-trimestral-del-financiamiento-a-las-empr/%7b2F0797C9-2616-D11A-47F5-39FE48B68D31%7d.pdf" TargetMode="External"/><Relationship Id="rId51" Type="http://schemas.openxmlformats.org/officeDocument/2006/relationships/hyperlink" Target="https://www.banxico.org.mx/publicaciones-y-prensa/evolucion-trimestral-del-financiamiento-a-las-empr/%7bE337ADB1-E981-1E18-A430-CEF8FF7A5164%7d.pdf" TargetMode="External"/><Relationship Id="rId52" Type="http://schemas.openxmlformats.org/officeDocument/2006/relationships/hyperlink" Target="https://www.banxico.org.mx/SieInter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4410</Words>
  <Characters>24261</Characters>
  <Application>Microsoft Office Word</Application>
  <DocSecurity>0</DocSecurity>
  <Lines>202</Lines>
  <Paragraphs>57</Paragraphs>
  <ScaleCrop>false</ScaleCrop>
  <Company/>
  <LinksUpToDate>false</LinksUpToDate>
  <CharactersWithSpaces>28614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Inclusión financiera, Pymes y Plan México revisión de literatura indexada</dc:title>
  <dc:description>Claude Docs node/40a20f71-b9e4@27 docx-w6</dc:description>
  <cp:lastModifiedBy>CASTAÑEDA DIAZ EMILIANO</cp:lastModifiedBy>
  <cp:revision>2</cp:revision>
  <dcterms:created xsi:type="dcterms:W3CDTF">2026-10-03T00:08:00Z</dcterms:created>
  <dcterms:modified xsi:type="dcterms:W3CDTF">2026-10-03T00:08:00Z</dcterms:modified>
</cp:coreProperties>
</file>