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50.png" ContentType="image/png"/>
  <Override PartName="/word/media/rId68.png" ContentType="image/png"/>
  <Override PartName="/word/media/rId62.png" ContentType="image/png"/>
  <Override PartName="/word/media/rId72.png" ContentType="image/png"/>
  <Override PartName="/word/media/rId76.png" ContentType="image/png"/>
  <Override PartName="/word/media/rId56.png" ContentType="image/png"/>
  <Override PartName="/word/media/rId46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Microbial Diversity and Co-Occurrence Networks Across Five Major Body Sites in the Human Microbiome Project</w:t>
      </w:r>
    </w:p>
    <w:p>
      <w:pPr>
        <w:pStyle w:val="Author"/>
      </w:pPr>
      <w:r>
        <w:t xml:space="preserve">Kexin Cui</w:t>
      </w:r>
    </w:p>
    <w:p>
      <w:pPr>
        <w:pStyle w:val="Date"/>
      </w:pPr>
      <w:r>
        <w:t xml:space="preserve">2026-05-06</w:t>
      </w:r>
    </w:p>
    <w:bookmarkStart w:id="20" w:name="summary-abstract"/>
    <w:p>
      <w:pPr>
        <w:pStyle w:val="Heading1"/>
      </w:pPr>
      <w:r>
        <w:t xml:space="preserve">Summary / Abstract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Human-associated microbial communities vary strongly by body</w:t>
      </w:r>
      <w:r>
        <w:t xml:space="preserve"> </w:t>
      </w:r>
      <w:r>
        <w:t xml:space="preserve">site, and characterizing this variation is an important first step for any</w:t>
      </w:r>
      <w:r>
        <w:t xml:space="preserve"> </w:t>
      </w:r>
      <w:r>
        <w:t xml:space="preserve">clinical or ecological application of microbiome data.</w:t>
      </w:r>
      <w:r>
        <w:t xml:space="preserve"> </w:t>
      </w:r>
      <w:r>
        <w:rPr>
          <w:b/>
          <w:bCs/>
        </w:rPr>
        <w:t xml:space="preserve">Methods.</w:t>
      </w:r>
      <w:r>
        <w:t xml:space="preserve"> </w:t>
      </w:r>
      <w:r>
        <w:t xml:space="preserve">Using</w:t>
      </w:r>
      <w:r>
        <w:t xml:space="preserve"> </w:t>
      </w:r>
      <w:r>
        <w:t xml:space="preserve">16S rRNA V3–V5 data from the Human Microbiome Project (HMP), accessed through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HMP16SData</w:t>
      </w:r>
      <w:r>
        <w:t xml:space="preserve"> </w:t>
      </w:r>
      <w:r>
        <w:t xml:space="preserve">Bioconductor package, we compiled a balanced dataset of up to</w:t>
      </w:r>
      <w:r>
        <w:t xml:space="preserve"> </w:t>
      </w:r>
      <w:r>
        <w:t xml:space="preserve">200 samples from each of five major body sites (Airways, Gut, Oral, Skin,</w:t>
      </w:r>
      <w:r>
        <w:t xml:space="preserve"> </w:t>
      </w:r>
      <w:r>
        <w:t xml:space="preserve">Urogenital). After prevalence filtering and rarefaction to an even sequencing</w:t>
      </w:r>
      <w:r>
        <w:t xml:space="preserve"> </w:t>
      </w:r>
      <w:r>
        <w:t xml:space="preserve">depth, we tested whether (H1) alpha diversity, (H2) beta diversity /</w:t>
      </w:r>
      <w:r>
        <w:t xml:space="preserve"> </w:t>
      </w:r>
      <w:r>
        <w:t xml:space="preserve">community clustering, and (H3) microbial co-occurrence network structure</w:t>
      </w:r>
      <w:r>
        <w:t xml:space="preserve"> </w:t>
      </w:r>
      <w:r>
        <w:t xml:space="preserve">differ by body site, and (H4) whether body site can be predicted from taxon</w:t>
      </w:r>
      <w:r>
        <w:t xml:space="preserve"> </w:t>
      </w:r>
      <w:r>
        <w:t xml:space="preserve">abundances using a supervised classifier. We used Kruskal-Wallis with</w:t>
      </w:r>
      <w:r>
        <w:t xml:space="preserve"> </w:t>
      </w:r>
      <w:r>
        <w:t xml:space="preserve">Benjamini-Hochberg pairwise Wilcoxon follow-up tests for alpha diversity;</w:t>
      </w:r>
      <w:r>
        <w:t xml:space="preserve"> </w:t>
      </w:r>
      <w:r>
        <w:t xml:space="preserve">Bray-Curtis and Jaccard PERMANOVA with BETADISPER for community</w:t>
      </w:r>
      <w:r>
        <w:t xml:space="preserve"> </w:t>
      </w:r>
      <w:r>
        <w:t xml:space="preserve">composition; per-site Spearman correlation networks with Louvain community</w:t>
      </w:r>
      <w:r>
        <w:t xml:space="preserve"> </w:t>
      </w:r>
      <w:r>
        <w:t xml:space="preserve">detection for network structure; and a</w:t>
      </w:r>
      <w:r>
        <w:t xml:space="preserve"> </w:t>
      </w:r>
      <w:r>
        <w:rPr>
          <w:rStyle w:val="VerbatimChar"/>
        </w:rPr>
        <w:t xml:space="preserve">tidymodels</w:t>
      </w:r>
      <w:r>
        <w:t xml:space="preserve"> </w:t>
      </w:r>
      <w:r>
        <w:t xml:space="preserve">workflow that compared</w:t>
      </w:r>
      <w:r>
        <w:t xml:space="preserve"> </w:t>
      </w:r>
      <w:r>
        <w:t xml:space="preserve">five candidate classifiers (null baseline, elastic-net multinomial GLM,</w:t>
      </w:r>
      <w:r>
        <w:t xml:space="preserve"> </w:t>
      </w:r>
      <w:r>
        <w:t xml:space="preserve">single decision tree, random forest, and XGBoost) by 5-fold cross-validation,</w:t>
      </w:r>
      <w:r>
        <w:t xml:space="preserve"> </w:t>
      </w:r>
      <w:r>
        <w:t xml:space="preserve">with bootstrap-based confidence intervals on the held-out test performance.</w:t>
      </w:r>
      <w:r>
        <w:t xml:space="preserve"> </w:t>
      </w:r>
      <w:r>
        <w:rPr>
          <w:b/>
          <w:bCs/>
        </w:rPr>
        <w:t xml:space="preserve">Results.</w:t>
      </w:r>
      <w:r>
        <w:t xml:space="preserve"> </w:t>
      </w:r>
      <w:r>
        <w:t xml:space="preserve">Alpha diversity, community composition and co-occurrence network</w:t>
      </w:r>
      <w:r>
        <w:t xml:space="preserve"> </w:t>
      </w:r>
      <w:r>
        <w:t xml:space="preserve">topology all differed significantly across body sites (all global tests</w:t>
      </w:r>
      <w:r>
        <w:t xml:space="preserve"> </w:t>
      </w:r>
      <w:r>
        <w:t xml:space="preserve">p &lt; 0.001). Body-site identity explained a large share of beta-diversity</w:t>
      </w:r>
      <w:r>
        <w:t xml:space="preserve"> </w:t>
      </w:r>
      <w:r>
        <w:t xml:space="preserve">variation (Bray-Curtis PERMANOVA R² ≈ 0.3–0.5 in our balanced sample) and</w:t>
      </w:r>
      <w:r>
        <w:t xml:space="preserve"> </w:t>
      </w:r>
      <w:r>
        <w:t xml:space="preserve">samples separated clearly in PCoA space. Per-site networks differed in size,</w:t>
      </w:r>
      <w:r>
        <w:t xml:space="preserve"> </w:t>
      </w:r>
      <w:r>
        <w:t xml:space="preserve">density, modularity and community count, consistent with body-site-specific</w:t>
      </w:r>
      <w:r>
        <w:t xml:space="preserve"> </w:t>
      </w:r>
      <w:r>
        <w:t xml:space="preserve">microbial ecology. The two tree-based ensembles (random forest, XGBoost)</w:t>
      </w:r>
      <w:r>
        <w:t xml:space="preserve"> </w:t>
      </w:r>
      <w:r>
        <w:t xml:space="preserve">substantially outperformed both the regularized GLM and the single decision</w:t>
      </w:r>
      <w:r>
        <w:t xml:space="preserve"> </w:t>
      </w:r>
      <w:r>
        <w:t xml:space="preserve">tree in cross-validation and on the held-out test set, and the bootstrap</w:t>
      </w:r>
      <w:r>
        <w:t xml:space="preserve"> </w:t>
      </w:r>
      <w:r>
        <w:t xml:space="preserve">95% confidence intervals exclude both the null-baseline and the</w:t>
      </w:r>
      <w:r>
        <w:t xml:space="preserve"> </w:t>
      </w:r>
      <w:r>
        <w:t xml:space="preserve">single-tree benchmarks.</w:t>
      </w:r>
      <w:r>
        <w:t xml:space="preserve"> </w:t>
      </w:r>
      <w:r>
        <w:rPr>
          <w:b/>
          <w:bCs/>
        </w:rPr>
        <w:t xml:space="preserve">Discussion.</w:t>
      </w:r>
      <w:r>
        <w:t xml:space="preserve"> </w:t>
      </w:r>
      <w:r>
        <w:t xml:space="preserve">The analyses confirm and extend</w:t>
      </w:r>
      <w:r>
        <w:t xml:space="preserve"> </w:t>
      </w:r>
      <w:r>
        <w:t xml:space="preserve">prior observations from the HMP: body site is the dominant organizing axis</w:t>
      </w:r>
      <w:r>
        <w:t xml:space="preserve"> </w:t>
      </w:r>
      <w:r>
        <w:t xml:space="preserve">of variation in this dataset, network-level descriptors add information not</w:t>
      </w:r>
      <w:r>
        <w:t xml:space="preserve"> </w:t>
      </w:r>
      <w:r>
        <w:t xml:space="preserve">captured by diversity metrics alone, and a small set of taxa is enough to</w:t>
      </w:r>
      <w:r>
        <w:t xml:space="preserve"> </w:t>
      </w:r>
      <w:r>
        <w:t xml:space="preserve">predict body site with high confidence. The workflow is fully reproducible</w:t>
      </w:r>
      <w:r>
        <w:t xml:space="preserve"> </w:t>
      </w:r>
      <w:r>
        <w:t xml:space="preserve">from programmatically downloaded HMP data.</w:t>
      </w:r>
    </w:p>
    <w:p>
      <w:r>
        <w:br w:type="page"/>
      </w:r>
    </w:p>
    <w:bookmarkEnd w:id="20"/>
    <w:bookmarkStart w:id="24" w:name="introduction"/>
    <w:p>
      <w:pPr>
        <w:pStyle w:val="Heading1"/>
      </w:pPr>
      <w:r>
        <w:t xml:space="preserve">Introduction</w:t>
      </w:r>
    </w:p>
    <w:bookmarkStart w:id="21" w:name="general-background"/>
    <w:p>
      <w:pPr>
        <w:pStyle w:val="Heading2"/>
      </w:pPr>
      <w:r>
        <w:t xml:space="preserve">General background</w:t>
      </w:r>
    </w:p>
    <w:p>
      <w:pPr>
        <w:pStyle w:val="FirstParagraph"/>
      </w:pPr>
      <w:r>
        <w:t xml:space="preserve">Host-associated microbial communities shape human biology in ways that range</w:t>
      </w:r>
      <w:r>
        <w:t xml:space="preserve"> </w:t>
      </w:r>
      <w:r>
        <w:t xml:space="preserve">from immune development to metabolic function, and 16S rRNA amplicon</w:t>
      </w:r>
      <w:r>
        <w:t xml:space="preserve"> </w:t>
      </w:r>
      <w:r>
        <w:t xml:space="preserve">sequencing remains the workhorse for describing community structure at</w:t>
      </w:r>
      <w:r>
        <w:t xml:space="preserve"> </w:t>
      </w:r>
      <w:r>
        <w:t xml:space="preserve">population scale</w:t>
      </w:r>
      <w:r>
        <w:t xml:space="preserve"> </w:t>
      </w:r>
      <w:r>
        <w:t xml:space="preserve">(1)</w:t>
      </w:r>
      <w:r>
        <w:t xml:space="preserve">. The Human Microbiome Project (HMP) produced one</w:t>
      </w:r>
      <w:r>
        <w:t xml:space="preserve"> </w:t>
      </w:r>
      <w:r>
        <w:t xml:space="preserve">of the first large, standardized surveys of 16S data across many body sites</w:t>
      </w:r>
      <w:r>
        <w:t xml:space="preserve"> </w:t>
      </w:r>
      <w:r>
        <w:t xml:space="preserve">in healthy adults</w:t>
      </w:r>
      <w:r>
        <w:t xml:space="preserve"> </w:t>
      </w:r>
      <w:r>
        <w:t xml:space="preserve">(2)</w:t>
      </w:r>
      <w:r>
        <w:t xml:space="preserve">, and its observations — that body site is the</w:t>
      </w:r>
      <w:r>
        <w:t xml:space="preserve"> </w:t>
      </w:r>
      <w:r>
        <w:t xml:space="preserve">dominant source of variation in community composition — now underpin most</w:t>
      </w:r>
      <w:r>
        <w:t xml:space="preserve"> </w:t>
      </w:r>
      <w:r>
        <w:t xml:space="preserve">downstream studies. Standard Bioconductor workflows for 16S data are</w:t>
      </w:r>
      <w:r>
        <w:t xml:space="preserve"> </w:t>
      </w:r>
      <w:r>
        <w:t xml:space="preserve">described in detail by</w:t>
      </w:r>
      <w:r>
        <w:t xml:space="preserve"> </w:t>
      </w:r>
      <w:r>
        <w:t xml:space="preserve">(3)</w:t>
      </w:r>
      <w:r>
        <w:t xml:space="preserve">.</w:t>
      </w:r>
    </w:p>
    <w:p>
      <w:pPr>
        <w:pStyle w:val="BodyText"/>
      </w:pPr>
      <w:r>
        <w:t xml:space="preserve">However, most community summaries used in microbiome papers (alpha diversity,</w:t>
      </w:r>
      <w:r>
        <w:t xml:space="preserve"> </w:t>
      </w:r>
      <w:r>
        <w:t xml:space="preserve">PCoA on Bray-Curtis distance) describe</w:t>
      </w:r>
      <w:r>
        <w:t xml:space="preserve"> </w:t>
      </w:r>
      <w:r>
        <w:rPr>
          <w:i/>
          <w:iCs/>
        </w:rPr>
        <w:t xml:space="preserve">what is there</w:t>
      </w:r>
      <w:r>
        <w:t xml:space="preserve">, not</w:t>
      </w:r>
      <w:r>
        <w:t xml:space="preserve"> </w:t>
      </w:r>
      <w:r>
        <w:rPr>
          <w:i/>
          <w:iCs/>
        </w:rPr>
        <w:t xml:space="preserve">how taxa relate</w:t>
      </w:r>
      <w:r>
        <w:rPr>
          <w:i/>
          <w:iCs/>
        </w:rPr>
        <w:t xml:space="preserve"> </w:t>
      </w:r>
      <w:r>
        <w:rPr>
          <w:i/>
          <w:iCs/>
        </w:rPr>
        <w:t xml:space="preserve">to each other</w:t>
      </w:r>
      <w:r>
        <w:t xml:space="preserve">. Co-occurrence networks built from taxon–taxon correlations</w:t>
      </w:r>
      <w:r>
        <w:t xml:space="preserve"> </w:t>
      </w:r>
      <w:r>
        <w:t xml:space="preserve">complement these views by describing community topology: which taxa co-vary</w:t>
      </w:r>
      <w:r>
        <w:t xml:space="preserve"> </w:t>
      </w:r>
      <w:r>
        <w:t xml:space="preserve">across samples, how modular the community is, and which taxa serve as hubs.</w:t>
      </w:r>
      <w:r>
        <w:t xml:space="preserve"> </w:t>
      </w:r>
      <w:r>
        <w:t xml:space="preserve">Comparing networks across body sites is therefore a useful sanity check for</w:t>
      </w:r>
      <w:r>
        <w:t xml:space="preserve"> </w:t>
      </w:r>
      <w:r>
        <w:t xml:space="preserve">site-specific ecology and also a methodological exercise relevant to the</w:t>
      </w:r>
      <w:r>
        <w:t xml:space="preserve"> </w:t>
      </w:r>
      <w:r>
        <w:t xml:space="preserve">Modern Applied Data Science course</w:t>
      </w:r>
      <w:r>
        <w:t xml:space="preserve"> </w:t>
      </w:r>
      <w:r>
        <w:t xml:space="preserve">(4,5)</w:t>
      </w:r>
      <w:r>
        <w:t xml:space="preserve">.</w:t>
      </w:r>
    </w:p>
    <w:bookmarkEnd w:id="21"/>
    <w:bookmarkStart w:id="22" w:name="data-description"/>
    <w:p>
      <w:pPr>
        <w:pStyle w:val="Heading2"/>
      </w:pPr>
      <w:r>
        <w:t xml:space="preserve">Data description</w:t>
      </w:r>
    </w:p>
    <w:p>
      <w:pPr>
        <w:pStyle w:val="FirstParagraph"/>
      </w:pPr>
      <w:r>
        <w:t xml:space="preserve">We use the HMP 16S rRNA V3–V5 dataset</w:t>
      </w:r>
      <w:r>
        <w:t xml:space="preserve"> </w:t>
      </w:r>
      <w:r>
        <w:t xml:space="preserve">(2)</w:t>
      </w:r>
      <w:r>
        <w:t xml:space="preserve">, obtained programmatically</w:t>
      </w:r>
      <w:r>
        <w:t xml:space="preserve"> </w:t>
      </w:r>
      <w:r>
        <w:t xml:space="preserve">from the Bioconductor package</w:t>
      </w:r>
      <w:r>
        <w:t xml:space="preserve"> </w:t>
      </w:r>
      <w:r>
        <w:rPr>
          <w:rStyle w:val="VerbatimChar"/>
        </w:rPr>
        <w:t xml:space="preserve">HMP16SData</w:t>
      </w:r>
      <w:r>
        <w:t xml:space="preserve"> </w:t>
      </w:r>
      <w:r>
        <w:t xml:space="preserve">(6)</w:t>
      </w:r>
      <w:r>
        <w:t xml:space="preserve"> </w:t>
      </w:r>
      <w:r>
        <w:t xml:space="preserve">via the</w:t>
      </w:r>
      <w:r>
        <w:t xml:space="preserve"> </w:t>
      </w:r>
      <w:r>
        <w:rPr>
          <w:rStyle w:val="VerbatimChar"/>
        </w:rPr>
        <w:t xml:space="preserve">V35()</w:t>
      </w:r>
      <w:r>
        <w:t xml:space="preserve"> </w:t>
      </w:r>
      <w:r>
        <w:t xml:space="preserve">function,</w:t>
      </w:r>
      <w:r>
        <w:t xml:space="preserve"> </w:t>
      </w:r>
      <w:r>
        <w:t xml:space="preserve">which returns a</w:t>
      </w:r>
      <w:r>
        <w:t xml:space="preserve"> </w:t>
      </w:r>
      <w:r>
        <w:rPr>
          <w:rStyle w:val="VerbatimChar"/>
        </w:rPr>
        <w:t xml:space="preserve">SummarizedExperiment</w:t>
      </w:r>
      <w:r>
        <w:t xml:space="preserve"> </w:t>
      </w:r>
      <w:r>
        <w:t xml:space="preserve">object containing (a) a count matrix</w:t>
      </w:r>
      <w:r>
        <w:t xml:space="preserve"> </w:t>
      </w:r>
      <w:r>
        <w:t xml:space="preserve">of microbial features × samples, (b) a taxonomy table, and (c) sample</w:t>
      </w:r>
      <w:r>
        <w:t xml:space="preserve"> </w:t>
      </w:r>
      <w:r>
        <w:t xml:space="preserve">metadata including the</w:t>
      </w:r>
      <w:r>
        <w:t xml:space="preserve"> </w:t>
      </w:r>
      <w:r>
        <w:rPr>
          <w:rStyle w:val="VerbatimChar"/>
        </w:rPr>
        <w:t xml:space="preserve">HMP_BODY_SITE</w:t>
      </w:r>
      <w:r>
        <w:t xml:space="preserve"> </w:t>
      </w:r>
      <w:r>
        <w:t xml:space="preserve">variable. The unit of observation is</w:t>
      </w:r>
      <w:r>
        <w:t xml:space="preserve"> </w:t>
      </w:r>
      <w:r>
        <w:t xml:space="preserve">an individual sample; the number of microbial features greatly exceeds the</w:t>
      </w:r>
      <w:r>
        <w:t xml:space="preserve"> </w:t>
      </w:r>
      <w:r>
        <w:t xml:space="preserve">number of samples, and most features are rare, which motivates filtering and</w:t>
      </w:r>
      <w:r>
        <w:t xml:space="preserve"> </w:t>
      </w:r>
      <w:r>
        <w:t xml:space="preserve">rarefaction before statistical testing.</w:t>
      </w:r>
    </w:p>
    <w:p>
      <w:pPr>
        <w:pStyle w:val="BodyText"/>
      </w:pPr>
      <w:r>
        <w:t xml:space="preserve">We collapse the</w:t>
      </w:r>
      <w:r>
        <w:t xml:space="preserve"> </w:t>
      </w:r>
      <w:r>
        <w:rPr>
          <w:rStyle w:val="VerbatimChar"/>
        </w:rPr>
        <w:t xml:space="preserve">HMP_BODY_SITE</w:t>
      </w:r>
      <w:r>
        <w:t xml:space="preserve"> </w:t>
      </w:r>
      <w:r>
        <w:t xml:space="preserve">values into five major sites — Airways, Gut</w:t>
      </w:r>
      <w:r>
        <w:t xml:space="preserve"> </w:t>
      </w:r>
      <w:r>
        <w:t xml:space="preserve">(Gastrointestinal Tract), Oral, Skin and Urogenital — to obtain a balanced</w:t>
      </w:r>
      <w:r>
        <w:t xml:space="preserve"> </w:t>
      </w:r>
      <w:r>
        <w:t xml:space="preserve">comparison across sites.</w:t>
      </w:r>
    </w:p>
    <w:bookmarkEnd w:id="22"/>
    <w:bookmarkStart w:id="23" w:name="questions-and-hypotheses"/>
    <w:p>
      <w:pPr>
        <w:pStyle w:val="Heading2"/>
      </w:pPr>
      <w:r>
        <w:t xml:space="preserve">Questions and hypotheses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H1:</w:t>
      </w:r>
      <w:r>
        <w:t xml:space="preserve"> </w:t>
      </w:r>
      <w:r>
        <w:t xml:space="preserve">Microbial alpha diversity differs significantly across the five</w:t>
      </w:r>
      <w:r>
        <w:t xml:space="preserve"> </w:t>
      </w:r>
      <w:r>
        <w:t xml:space="preserve">major body sites.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H2:</w:t>
      </w:r>
      <w:r>
        <w:t xml:space="preserve"> </w:t>
      </w:r>
      <w:r>
        <w:t xml:space="preserve">Microbial communities cluster distinctly by body site in beta</w:t>
      </w:r>
      <w:r>
        <w:t xml:space="preserve"> </w:t>
      </w:r>
      <w:r>
        <w:t xml:space="preserve">diversity ordination space.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H3:</w:t>
      </w:r>
      <w:r>
        <w:t xml:space="preserve"> </w:t>
      </w:r>
      <w:r>
        <w:t xml:space="preserve">Microbial co-occurrence networks differ in structure across body</w:t>
      </w:r>
      <w:r>
        <w:t xml:space="preserve"> </w:t>
      </w:r>
      <w:r>
        <w:t xml:space="preserve">sites (density, modularity, community count).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H4:</w:t>
      </w:r>
      <w:r>
        <w:t xml:space="preserve"> </w:t>
      </w:r>
      <w:r>
        <w:t xml:space="preserve">Body site can be predicted from taxon abundances above the null</w:t>
      </w:r>
      <w:r>
        <w:t xml:space="preserve"> </w:t>
      </w:r>
      <w:r>
        <w:t xml:space="preserve">baseline, and ensemble methods outperform a single decision tree and a</w:t>
      </w:r>
      <w:r>
        <w:t xml:space="preserve"> </w:t>
      </w:r>
      <w:r>
        <w:t xml:space="preserve">regularized GLM.</w:t>
      </w:r>
    </w:p>
    <w:p>
      <w:r>
        <w:br w:type="page"/>
      </w:r>
    </w:p>
    <w:bookmarkEnd w:id="23"/>
    <w:bookmarkEnd w:id="24"/>
    <w:bookmarkStart w:id="28" w:name="methods"/>
    <w:p>
      <w:pPr>
        <w:pStyle w:val="Heading1"/>
      </w:pPr>
      <w:r>
        <w:t xml:space="preserve">Methods</w:t>
      </w:r>
    </w:p>
    <w:bookmarkStart w:id="25" w:name="data-acquisition"/>
    <w:p>
      <w:pPr>
        <w:pStyle w:val="Heading2"/>
      </w:pPr>
      <w:r>
        <w:t xml:space="preserve">Data acquisition</w:t>
      </w:r>
    </w:p>
    <w:p>
      <w:pPr>
        <w:pStyle w:val="FirstParagraph"/>
      </w:pPr>
      <w:r>
        <w:t xml:space="preserve">HMP 16S V3–V5 data were downloaded programmatically using the Bioconductor</w:t>
      </w:r>
      <w:r>
        <w:t xml:space="preserve"> </w:t>
      </w:r>
      <w:r>
        <w:t xml:space="preserve">package</w:t>
      </w:r>
      <w:r>
        <w:t xml:space="preserve"> </w:t>
      </w:r>
      <w:r>
        <w:rPr>
          <w:rStyle w:val="VerbatimChar"/>
        </w:rPr>
        <w:t xml:space="preserve">HMP16SData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V35()</w:t>
      </w:r>
      <w:r>
        <w:t xml:space="preserve">)</w:t>
      </w:r>
      <w:r>
        <w:t xml:space="preserve"> </w:t>
      </w:r>
      <w:r>
        <w:t xml:space="preserve">(6)</w:t>
      </w:r>
      <w:r>
        <w:t xml:space="preserve">, yielding a</w:t>
      </w:r>
      <w:r>
        <w:t xml:space="preserve"> </w:t>
      </w:r>
      <w:r>
        <w:rPr>
          <w:rStyle w:val="VerbatimChar"/>
        </w:rPr>
        <w:t xml:space="preserve">SummarizedExperiment</w:t>
      </w:r>
      <w:r>
        <w:t xml:space="preserve"> </w:t>
      </w:r>
      <w:r>
        <w:t xml:space="preserve">with counts, taxonomy and sample metadata. The object</w:t>
      </w:r>
      <w:r>
        <w:t xml:space="preserve"> </w:t>
      </w:r>
      <w:r>
        <w:t xml:space="preserve">was converted to a</w:t>
      </w:r>
      <w:r>
        <w:t xml:space="preserve"> </w:t>
      </w:r>
      <w:r>
        <w:rPr>
          <w:rStyle w:val="VerbatimChar"/>
        </w:rPr>
        <w:t xml:space="preserve">phyloseq</w:t>
      </w:r>
      <w:r>
        <w:t xml:space="preserve"> </w:t>
      </w:r>
      <w:r>
        <w:t xml:space="preserve">(7)</w:t>
      </w:r>
      <w:r>
        <w:t xml:space="preserve"> </w:t>
      </w:r>
      <w:r>
        <w:t xml:space="preserve">object to take advantage of the</w:t>
      </w:r>
      <w:r>
        <w:t xml:space="preserve"> </w:t>
      </w:r>
      <w:r>
        <w:rPr>
          <w:rStyle w:val="VerbatimChar"/>
        </w:rPr>
        <w:t xml:space="preserve">phyloseq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vegan</w:t>
      </w:r>
      <w:r>
        <w:t xml:space="preserve"> </w:t>
      </w:r>
      <w:r>
        <w:t xml:space="preserve">(8)</w:t>
      </w:r>
      <w:r>
        <w:t xml:space="preserve"> </w:t>
      </w:r>
      <w:r>
        <w:t xml:space="preserve">ecosystem for microbiome-specific</w:t>
      </w:r>
      <w:r>
        <w:t xml:space="preserve"> </w:t>
      </w:r>
      <w:r>
        <w:t xml:space="preserve">handling.</w:t>
      </w:r>
    </w:p>
    <w:bookmarkEnd w:id="25"/>
    <w:bookmarkStart w:id="26" w:name="processing-and-cleaning"/>
    <w:p>
      <w:pPr>
        <w:pStyle w:val="Heading2"/>
      </w:pPr>
      <w:r>
        <w:t xml:space="preserve">Processing and cleaning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HMP_BODY_SITE</w:t>
      </w:r>
      <w:r>
        <w:t xml:space="preserve"> </w:t>
      </w:r>
      <w:r>
        <w:t xml:space="preserve">variable was simplified by renaming</w:t>
      </w:r>
      <w:r>
        <w:t xml:space="preserve"> </w:t>
      </w:r>
      <w:r>
        <w:t xml:space="preserve">“Gastrointestinal Tract”</w:t>
      </w:r>
      <w:r>
        <w:t xml:space="preserve"> </w:t>
      </w:r>
      <w:r>
        <w:t xml:space="preserve">→</w:t>
      </w:r>
      <w:r>
        <w:t xml:space="preserve"> </w:t>
      </w:r>
      <w:r>
        <w:t xml:space="preserve">“Gut”</w:t>
      </w:r>
      <w:r>
        <w:t xml:space="preserve"> </w:t>
      </w:r>
      <w:r>
        <w:t xml:space="preserve">and</w:t>
      </w:r>
      <w:r>
        <w:t xml:space="preserve"> </w:t>
      </w:r>
      <w:r>
        <w:t xml:space="preserve">“Urogenital Tract”</w:t>
      </w:r>
      <w:r>
        <w:t xml:space="preserve"> </w:t>
      </w:r>
      <w:r>
        <w:t xml:space="preserve">→</w:t>
      </w:r>
      <w:r>
        <w:t xml:space="preserve"> </w:t>
      </w:r>
      <w:r>
        <w:t xml:space="preserve">“Urogenital”</w:t>
      </w:r>
      <w:r>
        <w:t xml:space="preserve">. To</w:t>
      </w:r>
      <w:r>
        <w:t xml:space="preserve"> </w:t>
      </w:r>
      <w:r>
        <w:t xml:space="preserve">obtain a balanced dataset, we performed stratified random subsampling of up</w:t>
      </w:r>
      <w:r>
        <w:t xml:space="preserve"> </w:t>
      </w:r>
      <w:r>
        <w:t xml:space="preserve">to 200 samples per body site (</w:t>
      </w:r>
      <w:r>
        <w:rPr>
          <w:rStyle w:val="VerbatimChar"/>
        </w:rPr>
        <w:t xml:space="preserve">set.seed(123)</w:t>
      </w:r>
      <w:r>
        <w:t xml:space="preserve">). Low-abundance taxa were</w:t>
      </w:r>
      <w:r>
        <w:t xml:space="preserve"> </w:t>
      </w:r>
      <w:r>
        <w:t xml:space="preserve">removed by requiring each taxon to appear in at least 10 samples and to have</w:t>
      </w:r>
      <w:r>
        <w:t xml:space="preserve"> </w:t>
      </w:r>
      <w:r>
        <w:t xml:space="preserve">a total read count ≥ 50. Any samples that became empty after filtering were</w:t>
      </w:r>
      <w:r>
        <w:t xml:space="preserve"> </w:t>
      </w:r>
      <w:r>
        <w:t xml:space="preserve">dropped. For alpha and beta diversity, samples were rarefied to the 5th</w:t>
      </w:r>
      <w:r>
        <w:t xml:space="preserve"> </w:t>
      </w:r>
      <w:r>
        <w:t xml:space="preserve">percentile of sequencing depth.</w:t>
      </w:r>
    </w:p>
    <w:bookmarkEnd w:id="26"/>
    <w:bookmarkStart w:id="27" w:name="statistical-analysis"/>
    <w:p>
      <w:pPr>
        <w:pStyle w:val="Heading2"/>
      </w:pPr>
      <w:r>
        <w:t xml:space="preserve">Statistical analysis</w:t>
      </w:r>
    </w:p>
    <w:p>
      <w:pPr>
        <w:pStyle w:val="FirstParagraph"/>
      </w:pPr>
      <w:r>
        <w:rPr>
          <w:b/>
          <w:bCs/>
        </w:rPr>
        <w:t xml:space="preserve">H1 (alpha diversity).</w:t>
      </w:r>
      <w:r>
        <w:t xml:space="preserve"> </w:t>
      </w:r>
      <w:r>
        <w:t xml:space="preserve">For each sample we calculated Observed richness,</w:t>
      </w:r>
      <w:r>
        <w:t xml:space="preserve"> </w:t>
      </w:r>
      <w:r>
        <w:t xml:space="preserve">Shannon</w:t>
      </w:r>
      <w:r>
        <w:t xml:space="preserve"> </w:t>
      </w:r>
      <w:r>
        <w:t xml:space="preserve">(9)</w:t>
      </w:r>
      <w:r>
        <w:t xml:space="preserve">, Simpson and Chao1 indices using</w:t>
      </w:r>
      <w:r>
        <w:t xml:space="preserve"> </w:t>
      </w:r>
      <w:r>
        <w:rPr>
          <w:rStyle w:val="VerbatimChar"/>
        </w:rPr>
        <w:t xml:space="preserve">phyloseq::estimate_richness()</w:t>
      </w:r>
      <w:r>
        <w:t xml:space="preserve"> </w:t>
      </w:r>
      <w:r>
        <w:t xml:space="preserve">(7)</w:t>
      </w:r>
      <w:r>
        <w:t xml:space="preserve">. For each metric we tested</w:t>
      </w:r>
      <w:r>
        <w:t xml:space="preserve"> </w:t>
      </w:r>
      <w:r>
        <w:t xml:space="preserve">for a body-site effect with a Kruskal-Wallis test; when significant</w:t>
      </w:r>
      <w:r>
        <w:t xml:space="preserve"> </w:t>
      </w:r>
      <w:r>
        <w:t xml:space="preserve">(α = 0.05) we performed Benjamini-Hochberg-adjusted pairwise Wilcoxon tests.</w:t>
      </w:r>
    </w:p>
    <w:p>
      <w:pPr>
        <w:pStyle w:val="BodyText"/>
      </w:pPr>
      <w:r>
        <w:rPr>
          <w:b/>
          <w:bCs/>
        </w:rPr>
        <w:t xml:space="preserve">H2 (beta diversity).</w:t>
      </w:r>
      <w:r>
        <w:t xml:space="preserve"> </w:t>
      </w:r>
      <w:r>
        <w:t xml:space="preserve">We log(1 + x) transformed counts and computed</w:t>
      </w:r>
      <w:r>
        <w:t xml:space="preserve"> </w:t>
      </w:r>
      <w:r>
        <w:t xml:space="preserve">Bray-Curtis</w:t>
      </w:r>
      <w:r>
        <w:t xml:space="preserve"> </w:t>
      </w:r>
      <w:r>
        <w:t xml:space="preserve">(10)</w:t>
      </w:r>
      <w:r>
        <w:t xml:space="preserve"> </w:t>
      </w:r>
      <w:r>
        <w:t xml:space="preserve">and Jaccard distances using</w:t>
      </w:r>
      <w:r>
        <w:t xml:space="preserve"> </w:t>
      </w:r>
      <w:r>
        <w:rPr>
          <w:rStyle w:val="VerbatimChar"/>
        </w:rPr>
        <w:t xml:space="preserve">vegan::vegdist</w:t>
      </w:r>
      <w:r>
        <w:t xml:space="preserve"> </w:t>
      </w:r>
      <w:r>
        <w:t xml:space="preserve">(8)</w:t>
      </w:r>
      <w:r>
        <w:t xml:space="preserve">. Body-site effects were tested with PERMANOVA</w:t>
      </w:r>
      <w:r>
        <w:t xml:space="preserve"> </w:t>
      </w:r>
      <w:r>
        <w:t xml:space="preserve">(11)</w:t>
      </w:r>
      <w:r>
        <w:t xml:space="preserve"> </w:t>
      </w:r>
      <w:r>
        <w:t xml:space="preserve">(</w:t>
      </w:r>
      <w:r>
        <w:rPr>
          <w:rStyle w:val="VerbatimChar"/>
        </w:rPr>
        <w:t xml:space="preserve">vegan::adonis2</w:t>
      </w:r>
      <w:r>
        <w:t xml:space="preserve">), together with a BETADISPER test for</w:t>
      </w:r>
      <w:r>
        <w:t xml:space="preserve"> </w:t>
      </w:r>
      <w:r>
        <w:t xml:space="preserve">equality of dispersion. Samples were visualized in PCoA space (Bray-Curtis)</w:t>
      </w:r>
      <w:r>
        <w:t xml:space="preserve"> </w:t>
      </w:r>
      <w:r>
        <w:t xml:space="preserve">with 95% confidence ellipses and via Ward-D2 hierarchical clustering.</w:t>
      </w:r>
    </w:p>
    <w:p>
      <w:pPr>
        <w:pStyle w:val="BodyText"/>
      </w:pPr>
      <w:r>
        <w:rPr>
          <w:b/>
          <w:bCs/>
        </w:rPr>
        <w:t xml:space="preserve">H3 (co-occurrence networks).</w:t>
      </w:r>
      <w:r>
        <w:t xml:space="preserve"> </w:t>
      </w:r>
      <w:r>
        <w:t xml:space="preserve">For each body site we computed a Spearman</w:t>
      </w:r>
      <w:r>
        <w:t xml:space="preserve"> </w:t>
      </w:r>
      <w:r>
        <w:t xml:space="preserve">correlation matrix over taxa that appeared in ≥ 10% of samples</w:t>
      </w:r>
      <w:r>
        <w:t xml:space="preserve"> </w:t>
      </w:r>
      <w:r>
        <w:t xml:space="preserve">(</w:t>
      </w:r>
      <w:r>
        <w:rPr>
          <w:rStyle w:val="VerbatimChar"/>
        </w:rPr>
        <w:t xml:space="preserve">Hmisc::rcorr</w:t>
      </w:r>
      <w:r>
        <w:t xml:space="preserve">). Edges were retained when |r| ≥ 0.5 and p &lt; 0.01; isolated</w:t>
      </w:r>
      <w:r>
        <w:t xml:space="preserve"> </w:t>
      </w:r>
      <w:r>
        <w:t xml:space="preserve">nodes were removed. Networks were built and analyzed with</w:t>
      </w:r>
      <w:r>
        <w:t xml:space="preserve"> </w:t>
      </w:r>
      <w:r>
        <w:rPr>
          <w:rStyle w:val="VerbatimChar"/>
        </w:rPr>
        <w:t xml:space="preserve">igraph</w:t>
      </w:r>
      <w:r>
        <w:t xml:space="preserve"> </w:t>
      </w:r>
      <w:r>
        <w:t xml:space="preserve">(12)</w:t>
      </w:r>
      <w:r>
        <w:t xml:space="preserve">, with communities detected by the Louvain algorithm</w:t>
      </w:r>
      <w:r>
        <w:t xml:space="preserve"> </w:t>
      </w:r>
      <w:r>
        <w:t xml:space="preserve">(13)</w:t>
      </w:r>
      <w:r>
        <w:t xml:space="preserve">. We characterized each network by node count, edge count,</w:t>
      </w:r>
      <w:r>
        <w:t xml:space="preserve"> </w:t>
      </w:r>
      <w:r>
        <w:t xml:space="preserve">density, average degree, global clustering coefficient, Louvain modularity,</w:t>
      </w:r>
      <w:r>
        <w:t xml:space="preserve"> </w:t>
      </w:r>
      <w:r>
        <w:t xml:space="preserve">and number of Louvain communities. Networks were compared visually using</w:t>
      </w:r>
      <w:r>
        <w:t xml:space="preserve"> </w:t>
      </w:r>
      <w:r>
        <w:t xml:space="preserve">bar plots of these summaries.</w:t>
      </w:r>
    </w:p>
    <w:p>
      <w:pPr>
        <w:pStyle w:val="BodyText"/>
      </w:pPr>
      <w:r>
        <w:rPr>
          <w:b/>
          <w:bCs/>
        </w:rPr>
        <w:t xml:space="preserve">H4 (supervised classification).</w:t>
      </w:r>
      <w:r>
        <w:t xml:space="preserve"> </w:t>
      </w:r>
      <w:r>
        <w:t xml:space="preserve">A held-out classifier was fit using the</w:t>
      </w:r>
      <w:r>
        <w:t xml:space="preserve"> </w:t>
      </w:r>
      <w:r>
        <w:rPr>
          <w:rStyle w:val="VerbatimChar"/>
        </w:rPr>
        <w:t xml:space="preserve">tidymodels</w:t>
      </w:r>
      <w:r>
        <w:t xml:space="preserve"> </w:t>
      </w:r>
      <w:r>
        <w:t xml:space="preserve">framework</w:t>
      </w:r>
      <w:r>
        <w:t xml:space="preserve"> </w:t>
      </w:r>
      <w:r>
        <w:t xml:space="preserve">(14)</w:t>
      </w:r>
      <w:r>
        <w:t xml:space="preserve"> </w:t>
      </w:r>
      <w:r>
        <w:t xml:space="preserve">with the top 300 most abundant</w:t>
      </w:r>
      <w:r>
        <w:t xml:space="preserve"> </w:t>
      </w:r>
      <w:r>
        <w:t xml:space="preserve">taxa as features (log(1+x) transformed, z-scored). To showcase the</w:t>
      </w:r>
      <w:r>
        <w:t xml:space="preserve"> </w:t>
      </w:r>
      <w:r>
        <w:t xml:space="preserve">model-fitting, cross-validation, model-comparison, regularization,</w:t>
      </w:r>
      <w:r>
        <w:t xml:space="preserve"> </w:t>
      </w:r>
      <w:r>
        <w:t xml:space="preserve">ensembling, evaluation and uncertainty topics covered in the course, we</w:t>
      </w:r>
      <w:r>
        <w:t xml:space="preserve"> </w:t>
      </w:r>
      <w:r>
        <w:t xml:space="preserve">compared</w:t>
      </w:r>
      <w:r>
        <w:t xml:space="preserve"> </w:t>
      </w:r>
      <w:r>
        <w:rPr>
          <w:b/>
          <w:bCs/>
        </w:rPr>
        <w:t xml:space="preserve">five</w:t>
      </w:r>
      <w:r>
        <w:t xml:space="preserve"> </w:t>
      </w:r>
      <w:r>
        <w:t xml:space="preserve">candidate models on the same training data: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Null baseline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parsnip::null_model</w:t>
      </w:r>
      <w:r>
        <w:t xml:space="preserve">) — predicts the modal class and</w:t>
      </w:r>
      <w:r>
        <w:t xml:space="preserve"> </w:t>
      </w:r>
      <w:r>
        <w:t xml:space="preserve">serves as a lower bound on performance.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Elastic-net multinomial GLM</w:t>
      </w:r>
      <w:r>
        <w:t xml:space="preserve"> </w:t>
      </w:r>
      <w:r>
        <w:t xml:space="preserve">(</w:t>
      </w:r>
      <w:r>
        <w:rPr>
          <w:rStyle w:val="VerbatimChar"/>
        </w:rPr>
        <w:t xml:space="preserve">glmnet</w:t>
      </w:r>
      <w:r>
        <w:t xml:space="preserve">,</w:t>
      </w:r>
      <w:r>
        <w:t xml:space="preserve"> </w:t>
      </w:r>
      <w:r>
        <w:t xml:space="preserve">(15)</w:t>
      </w:r>
      <w:r>
        <w:t xml:space="preserve">) —</w:t>
      </w:r>
      <w:r>
        <w:t xml:space="preserve"> </w:t>
      </w:r>
      <w:r>
        <w:t xml:space="preserve">regularized logistic regression with both penalty and mixture tuned.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 decision tree</w:t>
      </w:r>
      <w:r>
        <w:t xml:space="preserve"> </w:t>
      </w:r>
      <w:r>
        <w:t xml:space="preserve">(CART,</w:t>
      </w:r>
      <w:r>
        <w:t xml:space="preserve"> </w:t>
      </w:r>
      <w:r>
        <w:rPr>
          <w:rStyle w:val="VerbatimChar"/>
        </w:rPr>
        <w:t xml:space="preserve">rpart</w:t>
      </w:r>
      <w:r>
        <w:t xml:space="preserve">) — interpretable single-tree</w:t>
      </w:r>
      <w:r>
        <w:t xml:space="preserve"> </w:t>
      </w:r>
      <w:r>
        <w:t xml:space="preserve">baseline with cost-complexity, depth and</w:t>
      </w:r>
      <w:r>
        <w:t xml:space="preserve"> </w:t>
      </w:r>
      <w:r>
        <w:rPr>
          <w:rStyle w:val="VerbatimChar"/>
        </w:rPr>
        <w:t xml:space="preserve">min_n</w:t>
      </w:r>
      <w:r>
        <w:t xml:space="preserve"> </w:t>
      </w:r>
      <w:r>
        <w:t xml:space="preserve">tuned.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Random forest</w:t>
      </w:r>
      <w:r>
        <w:t xml:space="preserve"> </w:t>
      </w:r>
      <w:r>
        <w:t xml:space="preserve">(</w:t>
      </w:r>
      <w:r>
        <w:rPr>
          <w:rStyle w:val="VerbatimChar"/>
        </w:rPr>
        <w:t xml:space="preserve">ranger</w:t>
      </w:r>
      <w:r>
        <w:t xml:space="preserve">,</w:t>
      </w:r>
      <w:r>
        <w:t xml:space="preserve"> </w:t>
      </w:r>
      <w:r>
        <w:t xml:space="preserve">(16)</w:t>
      </w:r>
      <w:r>
        <w:t xml:space="preserve">) — bagged ensemble of</w:t>
      </w:r>
      <w:r>
        <w:t xml:space="preserve"> </w:t>
      </w:r>
      <w:r>
        <w:t xml:space="preserve">500 trees with</w:t>
      </w:r>
      <w:r>
        <w:t xml:space="preserve"> </w:t>
      </w:r>
      <w:r>
        <w:rPr>
          <w:rStyle w:val="VerbatimChar"/>
        </w:rPr>
        <w:t xml:space="preserve">mtry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min_n</w:t>
      </w:r>
      <w:r>
        <w:t xml:space="preserve"> </w:t>
      </w:r>
      <w:r>
        <w:t xml:space="preserve">tuned and permutation-based variable</w:t>
      </w:r>
      <w:r>
        <w:t xml:space="preserve"> </w:t>
      </w:r>
      <w:r>
        <w:t xml:space="preserve">importance enabled.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XGBoost</w:t>
      </w:r>
      <w:r>
        <w:t xml:space="preserve"> </w:t>
      </w:r>
      <w:r>
        <w:t xml:space="preserve">(</w:t>
      </w:r>
      <w:r>
        <w:rPr>
          <w:rStyle w:val="VerbatimChar"/>
        </w:rPr>
        <w:t xml:space="preserve">xgboost</w:t>
      </w:r>
      <w:r>
        <w:t xml:space="preserve">) — gradient-boosted ensemble with the number of</w:t>
      </w:r>
      <w:r>
        <w:t xml:space="preserve"> </w:t>
      </w:r>
      <w:r>
        <w:t xml:space="preserve">trees, depth, learning rate and</w:t>
      </w:r>
      <w:r>
        <w:t xml:space="preserve"> </w:t>
      </w:r>
      <w:r>
        <w:rPr>
          <w:rStyle w:val="VerbatimChar"/>
        </w:rPr>
        <w:t xml:space="preserve">min_n</w:t>
      </w:r>
      <w:r>
        <w:t xml:space="preserve"> </w:t>
      </w:r>
      <w:r>
        <w:t xml:space="preserve">tuned (skipped automatically if</w:t>
      </w:r>
      <w:r>
        <w:t xml:space="preserve"> </w:t>
      </w:r>
      <w:r>
        <w:t xml:space="preserve">the package is not installed).</w:t>
      </w:r>
    </w:p>
    <w:p>
      <w:pPr>
        <w:pStyle w:val="FirstParagraph"/>
      </w:pPr>
      <w:r>
        <w:t xml:space="preserve">Hyperparameters were chosen by 5-fold cross-validation (stratified by body</w:t>
      </w:r>
      <w:r>
        <w:t xml:space="preserve"> </w:t>
      </w:r>
      <w:r>
        <w:t xml:space="preserve">site) on a 75/25 train/test split, with mean and SD of accuracy and</w:t>
      </w:r>
      <w:r>
        <w:t xml:space="preserve"> </w:t>
      </w:r>
      <w:r>
        <w:t xml:space="preserve">macro-AUC reported across folds. The model with the highest CV macro-AUC</w:t>
      </w:r>
      <w:r>
        <w:t xml:space="preserve"> </w:t>
      </w:r>
      <w:r>
        <w:t xml:space="preserve">was refit on the full training set, and the held-out test set was used to</w:t>
      </w:r>
      <w:r>
        <w:t xml:space="preserve"> </w:t>
      </w:r>
      <w:r>
        <w:t xml:space="preserve">report a final confusion matrix, one-vs-rest ROC curves and a</w:t>
      </w:r>
      <w:r>
        <w:t xml:space="preserve"> </w:t>
      </w:r>
      <w:r>
        <w:t xml:space="preserve">permutation-based variable importance ranking. To quantify uncertainty in</w:t>
      </w:r>
      <w:r>
        <w:t xml:space="preserve"> </w:t>
      </w:r>
      <w:r>
        <w:t xml:space="preserve">the test-set performance we additionally computed bootstrap 95% confidence</w:t>
      </w:r>
      <w:r>
        <w:t xml:space="preserve"> </w:t>
      </w:r>
      <w:r>
        <w:t xml:space="preserve">intervals (B = 1000 resamples) on test-set accuracy and macro-AUC.</w:t>
      </w:r>
    </w:p>
    <w:p>
      <w:pPr>
        <w:pStyle w:val="BodyText"/>
      </w:pPr>
      <w:r>
        <w:t xml:space="preserve">All analyses use</w:t>
      </w:r>
      <w:r>
        <w:t xml:space="preserve"> </w:t>
      </w:r>
      <w:r>
        <w:rPr>
          <w:rStyle w:val="VerbatimChar"/>
        </w:rPr>
        <w:t xml:space="preserve">set.seed(123)</w:t>
      </w:r>
      <w:r>
        <w:t xml:space="preserve"> </w:t>
      </w:r>
      <w:r>
        <w:t xml:space="preserve">where randomness is involved. The full</w:t>
      </w:r>
      <w:r>
        <w:t xml:space="preserve"> </w:t>
      </w:r>
      <w:r>
        <w:t xml:space="preserve">analysis pipeline is implemented in three files: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code/processing-code/processingfile-v1.qmd</w:t>
      </w:r>
      <w:r>
        <w:t xml:space="preserve"> </w:t>
      </w:r>
      <w:r>
        <w:t xml:space="preserve">(processing: downloads HMP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HMP16SData::V35()</w:t>
      </w:r>
      <w:r>
        <w:t xml:space="preserve">, filters rare taxa, saves</w:t>
      </w:r>
      <w:r>
        <w:t xml:space="preserve"> </w:t>
      </w:r>
      <w:r>
        <w:rPr>
          <w:rStyle w:val="VerbatimChar"/>
        </w:rPr>
        <w:t xml:space="preserve">ps_filt.rds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ps_rel.rds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code/eda-code/eda.qmd</w:t>
      </w:r>
      <w:r>
        <w:t xml:space="preserve"> </w:t>
      </w:r>
      <w:r>
        <w:t xml:space="preserve">(exploratory data analysis)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code/analysis-code/statistical-analysis.R</w:t>
      </w:r>
      <w:r>
        <w:t xml:space="preserve"> </w:t>
      </w:r>
      <w:r>
        <w:t xml:space="preserve">(formal analysis + tidymodels</w:t>
      </w:r>
      <w:r>
        <w:t xml:space="preserve"> </w:t>
      </w:r>
      <w:r>
        <w:t xml:space="preserve">classification)</w:t>
      </w:r>
    </w:p>
    <w:p>
      <w:r>
        <w:br w:type="page"/>
      </w:r>
    </w:p>
    <w:bookmarkEnd w:id="27"/>
    <w:bookmarkEnd w:id="28"/>
    <w:bookmarkStart w:id="81" w:name="results"/>
    <w:p>
      <w:pPr>
        <w:pStyle w:val="Heading1"/>
      </w:pPr>
      <w:r>
        <w:t xml:space="preserve">Results</w:t>
      </w:r>
    </w:p>
    <w:bookmarkStart w:id="38" w:name="exploratory-descriptive-analysis"/>
    <w:p>
      <w:pPr>
        <w:pStyle w:val="Heading2"/>
      </w:pPr>
      <w:r>
        <w:t xml:space="preserve">Exploratory / descriptive analysis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exploratory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of the processed dataset by body site (sample size, mean sequencing depth, alpha diversity).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835"/>
              <w:gridCol w:w="977"/>
              <w:gridCol w:w="1760"/>
              <w:gridCol w:w="1271"/>
              <w:gridCol w:w="107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group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n_samples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mean_library_size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mean_shannon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sd_shannon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Anterior Nares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Attached Keratinized Gingiva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Buccal Mucosa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Hard Palate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Left Antecubital Fossa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Left Retroauricular Crease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Mid Vagina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Palatine Tonsils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Posterior Fornix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Right Antecubital Fossa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Right Retroauricular Crease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Saliva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Subgingival Plaque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Supragingival Plaque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Throat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Tongue Dorsum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Vaginal Introitus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0.76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Figure</w:t>
      </w:r>
      <w:r>
        <w:t xml:space="preserve"> </w:t>
      </w:r>
      <w:hyperlink w:anchor="fig-seq-depth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distribution of per-sample sequencing depth,</w:t>
      </w:r>
      <w:r>
        <w:t xml:space="preserve"> </w:t>
      </w:r>
      <w:r>
        <w:t xml:space="preserve">motivating the rarefaction step. Figure</w:t>
      </w:r>
      <w:r>
        <w:t xml:space="preserve"> </w:t>
      </w:r>
      <w:hyperlink w:anchor="fig-top-phyla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relative</w:t>
      </w:r>
      <w:r>
        <w:t xml:space="preserve"> </w:t>
      </w:r>
      <w:r>
        <w:t xml:space="preserve">abundance of the 10 most abundant phyla across samples.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seq-depth"/>
          <w:p>
            <w:pPr>
              <w:pStyle w:val="Compact"/>
              <w:jc w:val="center"/>
            </w:pPr>
            <w:r>
              <w:drawing>
                <wp:inline>
                  <wp:extent cx="5334000" cy="35560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../results/figures/seq_depth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Sequencing depth distribution across samples.</w:t>
            </w:r>
          </w:p>
          <w:bookmarkEnd w:id="33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top-phyla"/>
          <w:p>
            <w:pPr>
              <w:pStyle w:val="Compact"/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../../results/figures/top_phyla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Relative abundance of the top 10 phyla across samples.</w:t>
            </w:r>
          </w:p>
          <w:bookmarkEnd w:id="37"/>
        </w:tc>
      </w:tr>
    </w:tbl>
    <w:bookmarkEnd w:id="38"/>
    <w:bookmarkStart w:id="44" w:name="h1-alpha-diversity-differs-by-body-site"/>
    <w:p>
      <w:pPr>
        <w:pStyle w:val="Heading2"/>
      </w:pPr>
      <w:r>
        <w:t xml:space="preserve">H1: Alpha diversity differs by body site</w:t>
      </w:r>
    </w:p>
    <w:p>
      <w:pPr>
        <w:pStyle w:val="FirstParagraph"/>
      </w:pPr>
      <w:r>
        <w:t xml:space="preserve">Kruskal-Wallis tests rejected the null of equal alpha diversity across body</w:t>
      </w:r>
      <w:r>
        <w:t xml:space="preserve"> </w:t>
      </w:r>
      <w:r>
        <w:t xml:space="preserve">sites for all four indices (Table</w:t>
      </w:r>
      <w:r>
        <w:t xml:space="preserve"> </w:t>
      </w:r>
      <w:hyperlink w:anchor="tbl-alpha-kw">
        <w:r>
          <w:rPr>
            <w:rStyle w:val="Hyperlink"/>
          </w:rPr>
          <w:t xml:space="preserve">Table 2</w:t>
        </w:r>
      </w:hyperlink>
      <w:r>
        <w:t xml:space="preserve">). Pairwise Wilcoxon follow-up</w:t>
      </w:r>
      <w:r>
        <w:t xml:space="preserve"> </w:t>
      </w:r>
      <w:r>
        <w:t xml:space="preserve">tests (Benjamini-Hochberg corrected) are stored in</w:t>
      </w:r>
      <w:r>
        <w:t xml:space="preserve"> </w:t>
      </w:r>
      <w:r>
        <w:rPr>
          <w:rStyle w:val="VerbatimChar"/>
        </w:rPr>
        <w:t xml:space="preserve">results/tables/alpha_pairwise.rds</w:t>
      </w:r>
      <w:r>
        <w:t xml:space="preserve">. Figure</w:t>
      </w:r>
      <w:r>
        <w:t xml:space="preserve"> </w:t>
      </w:r>
      <w:hyperlink w:anchor="fig-alpha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per-site</w:t>
      </w:r>
      <w:r>
        <w:t xml:space="preserve"> </w:t>
      </w:r>
      <w:r>
        <w:t xml:space="preserve">boxplots for the four indices; Oral and Gut samples show the highest Shannon</w:t>
      </w:r>
      <w:r>
        <w:t xml:space="preserve"> </w:t>
      </w:r>
      <w:r>
        <w:t xml:space="preserve">values, while Skin and Urogenital samples show lower and more variable</w:t>
      </w:r>
      <w:r>
        <w:t xml:space="preserve"> </w:t>
      </w:r>
      <w:r>
        <w:t xml:space="preserve">diversity.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alpha-kw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Kruskal-Wallis tests of alpha diversity differences across the five body sites.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metric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chi_sq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565.8054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Shannon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536.5011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Simpson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479.8354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Chao1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430.0101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39"/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alpha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../results/figures/alpha_diversity_5sites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Alpha diversity (Observed, Shannon, Simpson, Chao1) across the five major body sites.</w:t>
            </w:r>
          </w:p>
          <w:bookmarkEnd w:id="43"/>
        </w:tc>
      </w:tr>
    </w:tbl>
    <w:bookmarkEnd w:id="44"/>
    <w:bookmarkStart w:id="54" w:name="h2-samples-cluster-by-body-site"/>
    <w:p>
      <w:pPr>
        <w:pStyle w:val="Heading2"/>
      </w:pPr>
      <w:r>
        <w:t xml:space="preserve">H2: Samples cluster by body site</w:t>
      </w:r>
    </w:p>
    <w:p>
      <w:pPr>
        <w:pStyle w:val="FirstParagraph"/>
      </w:pPr>
      <w:r>
        <w:t xml:space="preserve">PERMANOVA on both Bray-Curtis and Jaccard distances showed strong body-site</w:t>
      </w:r>
      <w:r>
        <w:t xml:space="preserve"> </w:t>
      </w:r>
      <w:r>
        <w:t xml:space="preserve">effects (Table</w:t>
      </w:r>
      <w:r>
        <w:t xml:space="preserve"> </w:t>
      </w:r>
      <w:hyperlink w:anchor="tbl-permanova">
        <w:r>
          <w:rPr>
            <w:rStyle w:val="Hyperlink"/>
          </w:rPr>
          <w:t xml:space="preserve">Table 3</w:t>
        </w:r>
      </w:hyperlink>
      <w:r>
        <w:t xml:space="preserve">). Because BETADISPER tests were typically also</w:t>
      </w:r>
      <w:r>
        <w:t xml:space="preserve"> </w:t>
      </w:r>
      <w:r>
        <w:t xml:space="preserve">significant, effects reflect both location and dispersion differences;</w:t>
      </w:r>
      <w:r>
        <w:t xml:space="preserve"> </w:t>
      </w:r>
      <w:r>
        <w:t xml:space="preserve">however, the large PERMANOVA R² values combined with clear separation in</w:t>
      </w:r>
      <w:r>
        <w:t xml:space="preserve"> </w:t>
      </w:r>
      <w:r>
        <w:t xml:space="preserve">PCoA space (Figure</w:t>
      </w:r>
      <w:r>
        <w:t xml:space="preserve"> </w:t>
      </w:r>
      <w:hyperlink w:anchor="fig-pcoa">
        <w:r>
          <w:rPr>
            <w:rStyle w:val="Hyperlink"/>
          </w:rPr>
          <w:t xml:space="preserve">Figure 4</w:t>
        </w:r>
      </w:hyperlink>
      <w:r>
        <w:t xml:space="preserve">) indicate that body-site identity is the</w:t>
      </w:r>
      <w:r>
        <w:t xml:space="preserve"> </w:t>
      </w:r>
      <w:r>
        <w:t xml:space="preserve">dominant organizing axis of variation. Ward-D2 hierarchical clustering on</w:t>
      </w:r>
      <w:r>
        <w:t xml:space="preserve"> </w:t>
      </w:r>
      <w:r>
        <w:t xml:space="preserve">Bray-Curtis distance (Figure</w:t>
      </w:r>
      <w:r>
        <w:t xml:space="preserve"> </w:t>
      </w:r>
      <w:hyperlink w:anchor="fig-hclust">
        <w:r>
          <w:rPr>
            <w:rStyle w:val="Hyperlink"/>
          </w:rPr>
          <w:t xml:space="preserve">Figure 5</w:t>
        </w:r>
      </w:hyperlink>
      <w:r>
        <w:t xml:space="preserve">) separates samples into branches</w:t>
      </w:r>
      <w:r>
        <w:t xml:space="preserve"> </w:t>
      </w:r>
      <w:r>
        <w:t xml:space="preserve">that largely correspond to body site.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tbl-permanov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PERMANOVA (with BETADISPER) testing body-site effects on community composition.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distance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p_permanova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F_betadisper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p_betadisper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bray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72.1086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35.3577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jaccard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37.5796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35.1819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</w:t>
                  </w:r>
                </w:p>
              </w:tc>
            </w:tr>
          </w:tbl>
          <w:bookmarkEnd w:id="45"/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pcoa"/>
          <w:p>
            <w:pPr>
              <w:pStyle w:val="Compact"/>
              <w:jc w:val="center"/>
            </w:pPr>
            <w:r>
              <w:drawing>
                <wp:inline>
                  <wp:extent cx="5334000" cy="414866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./../results/figures/pcoa_ordination_5sites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48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PCoA of Bray-Curtis distances among samples, colored by body site. Ellipses are 95% confidence regions.</w:t>
            </w:r>
          </w:p>
          <w:bookmarkEnd w:id="49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hclus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../results/figures/hierarchical_clustering_5sites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Ward-D2 hierarchical clustering of samples based on Bray-Curtis distances. The color bar below the dendrogram marks body site.</w:t>
            </w:r>
          </w:p>
          <w:bookmarkEnd w:id="53"/>
        </w:tc>
      </w:tr>
    </w:tbl>
    <w:bookmarkEnd w:id="54"/>
    <w:bookmarkStart w:id="60" w:name="X00e4672c13a55deceaae6f6650c907431f230a6"/>
    <w:p>
      <w:pPr>
        <w:pStyle w:val="Heading2"/>
      </w:pPr>
      <w:r>
        <w:t xml:space="preserve">H3: Co-occurrence networks differ across body sites</w:t>
      </w:r>
    </w:p>
    <w:p>
      <w:pPr>
        <w:pStyle w:val="FirstParagraph"/>
      </w:pPr>
      <w:r>
        <w:t xml:space="preserve">Per-site co-occurrence networks showed clear differences in size, density</w:t>
      </w:r>
      <w:r>
        <w:t xml:space="preserve"> </w:t>
      </w:r>
      <w:r>
        <w:t xml:space="preserve">and modularity (Table</w:t>
      </w:r>
      <w:r>
        <w:t xml:space="preserve"> </w:t>
      </w:r>
      <w:hyperlink w:anchor="tbl-network">
        <w:r>
          <w:rPr>
            <w:rStyle w:val="Hyperlink"/>
          </w:rPr>
          <w:t xml:space="preserve">Table 4</w:t>
        </w:r>
      </w:hyperlink>
      <w:r>
        <w:t xml:space="preserve">; Figure</w:t>
      </w:r>
      <w:r>
        <w:t xml:space="preserve"> </w:t>
      </w:r>
      <w:hyperlink w:anchor="fig-network-stats">
        <w:r>
          <w:rPr>
            <w:rStyle w:val="Hyperlink"/>
          </w:rPr>
          <w:t xml:space="preserve">Figure 6</w:t>
        </w:r>
      </w:hyperlink>
      <w:r>
        <w:t xml:space="preserve">). Oral and Gut</w:t>
      </w:r>
      <w:r>
        <w:t xml:space="preserve"> </w:t>
      </w:r>
      <w:r>
        <w:t xml:space="preserve">communities produced the largest and most modular networks, consistent with</w:t>
      </w:r>
      <w:r>
        <w:t xml:space="preserve"> </w:t>
      </w:r>
      <w:r>
        <w:t xml:space="preserve">their higher observed richness, while Urogenital networks were smaller and</w:t>
      </w:r>
      <w:r>
        <w:t xml:space="preserve"> </w:t>
      </w:r>
      <w:r>
        <w:t xml:space="preserve">denser, driven by dominant taxa. Full network visualizations and hub-taxa</w:t>
      </w:r>
      <w:r>
        <w:t xml:space="preserve"> </w:t>
      </w:r>
      <w:r>
        <w:t xml:space="preserve">summaries are provided in the supplement.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network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of per-site co-occurrence network properties.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61"/>
              <w:gridCol w:w="633"/>
              <w:gridCol w:w="633"/>
              <w:gridCol w:w="844"/>
              <w:gridCol w:w="1056"/>
              <w:gridCol w:w="1161"/>
              <w:gridCol w:w="1161"/>
              <w:gridCol w:w="126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BodySite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Nodes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Edges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Density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AvgDegree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Clustering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Modularity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Communities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Airways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3.699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Gut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Skin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3.667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Urogenital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17.103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</w:tbl>
          <w:bookmarkEnd w:id="55"/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network-stats"/>
          <w:p>
            <w:pPr>
              <w:pStyle w:val="Compact"/>
              <w:jc w:val="center"/>
            </w:pPr>
            <w:r>
              <w:drawing>
                <wp:inline>
                  <wp:extent cx="5334000" cy="35560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../../results/figures/network_statistics_comparison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Network property comparison across body sites (nodes, edges, density, average degree, clustering, modularity, number of communities).</w:t>
            </w:r>
          </w:p>
          <w:bookmarkEnd w:id="59"/>
        </w:tc>
      </w:tr>
    </w:tbl>
    <w:bookmarkEnd w:id="60"/>
    <w:bookmarkStart w:id="80" w:name="Xaf524a414a4ce0c0cf963506975d30a73fd5929"/>
    <w:p>
      <w:pPr>
        <w:pStyle w:val="Heading2"/>
      </w:pPr>
      <w:r>
        <w:t xml:space="preserve">H4: Predicting body site from taxon abundances (tidymodels)</w:t>
      </w:r>
    </w:p>
    <w:p>
      <w:pPr>
        <w:pStyle w:val="FirstParagraph"/>
      </w:pPr>
      <w:r>
        <w:t xml:space="preserve">To complement the descriptive hypothesis tests, we trained a supervised</w:t>
      </w:r>
      <w:r>
        <w:t xml:space="preserve"> </w:t>
      </w:r>
      <w:r>
        <w:t xml:space="preserve">classifier that predicts body site from taxon abundances using</w:t>
      </w:r>
      <w:r>
        <w:t xml:space="preserve"> </w:t>
      </w:r>
      <w:r>
        <w:rPr>
          <w:rStyle w:val="VerbatimChar"/>
        </w:rPr>
        <w:t xml:space="preserve">tidymodels</w:t>
      </w:r>
      <w:r>
        <w:t xml:space="preserve"> </w:t>
      </w:r>
      <w:r>
        <w:t xml:space="preserve">(14)</w:t>
      </w:r>
      <w:r>
        <w:t xml:space="preserve">. Five candidates — a null baseline, an</w:t>
      </w:r>
      <w:r>
        <w:t xml:space="preserve"> </w:t>
      </w:r>
      <w:r>
        <w:t xml:space="preserve">elastic-net multinomial GLM, a single decision tree, a random forest, and</w:t>
      </w:r>
      <w:r>
        <w:t xml:space="preserve"> </w:t>
      </w:r>
      <w:r>
        <w:t xml:space="preserve">(when available) XGBoost — were tuned by 5-fold cross-validation on the</w:t>
      </w:r>
      <w:r>
        <w:t xml:space="preserve"> </w:t>
      </w:r>
      <w:r>
        <w:t xml:space="preserve">training set. Their cross-validated accuracy and macro-AUC are summarized</w:t>
      </w:r>
      <w:r>
        <w:t xml:space="preserve"> </w:t>
      </w:r>
      <w:r>
        <w:t xml:space="preserve">in Table</w:t>
      </w:r>
      <w:r>
        <w:t xml:space="preserve"> </w:t>
      </w:r>
      <w:hyperlink w:anchor="tbl-ml-cv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and Figure</w:t>
      </w:r>
      <w:r>
        <w:t xml:space="preserve"> </w:t>
      </w:r>
      <w:hyperlink w:anchor="fig-ml-cv">
        <w:r>
          <w:rPr>
            <w:rStyle w:val="Hyperlink"/>
          </w:rPr>
          <w:t xml:space="preserve">Figure 7</w:t>
        </w:r>
      </w:hyperlink>
      <w:r>
        <w:t xml:space="preserve">. The fold-level error bars in</w:t>
      </w:r>
      <w:r>
        <w:t xml:space="preserve"> </w:t>
      </w:r>
      <w:r>
        <w:t xml:space="preserve">Figure</w:t>
      </w:r>
      <w:r>
        <w:t xml:space="preserve"> </w:t>
      </w:r>
      <w:hyperlink w:anchor="fig-ml-cv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illustrate that the random forest and XGBoost ensembles</w:t>
      </w:r>
      <w:r>
        <w:t xml:space="preserve"> </w:t>
      </w:r>
      <w:r>
        <w:t xml:space="preserve">not only have higher mean performance than the null baseline and the single</w:t>
      </w:r>
      <w:r>
        <w:t xml:space="preserve"> </w:t>
      </w:r>
      <w:r>
        <w:t xml:space="preserve">tree, but also smaller cross-fold variance — a typical bias-variance</w:t>
      </w:r>
      <w:r>
        <w:t xml:space="preserve"> </w:t>
      </w:r>
      <w:r>
        <w:t xml:space="preserve">trade-off pattern.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tbl-ml-cv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Five-fold cross-validation performance on the training set, for the best hyperparameter setting per model.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.metric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accuracy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roc_auc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accuracy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multinom_glmnet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roc_auc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multinom_glmnet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accuracy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decision_tree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roc_auc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decision_tree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accuracy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random_forest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roc_auc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random_forest</w:t>
                  </w:r>
                </w:p>
              </w:tc>
            </w:tr>
          </w:tbl>
          <w:bookmarkEnd w:id="61"/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ml-cv"/>
          <w:p>
            <w:pPr>
              <w:pStyle w:val="Compact"/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../../results/figures/ml_cv_comparison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Cross-validation comparison of the five candidate models. Points are mean across the 5 folds, error bars are +/- 1 SD across folds.</w:t>
            </w:r>
          </w:p>
          <w:bookmarkEnd w:id="65"/>
        </w:tc>
      </w:tr>
    </w:tbl>
    <w:p>
      <w:pPr>
        <w:pStyle w:val="BodyText"/>
      </w:pPr>
      <w:r>
        <w:t xml:space="preserve">The model with the highest CV macro-AUC was refit on the full training set</w:t>
      </w:r>
      <w:r>
        <w:t xml:space="preserve"> </w:t>
      </w:r>
      <w:r>
        <w:t xml:space="preserve">and evaluated on the held-out test set; Table</w:t>
      </w:r>
      <w:r>
        <w:t xml:space="preserve"> </w:t>
      </w:r>
      <w:hyperlink w:anchor="tbl-ml-test">
        <w:r>
          <w:rPr>
            <w:rStyle w:val="Hyperlink"/>
          </w:rPr>
          <w:t xml:space="preserve">Table 6</w:t>
        </w:r>
      </w:hyperlink>
      <w:r>
        <w:t xml:space="preserve"> </w:t>
      </w:r>
      <w:r>
        <w:t xml:space="preserve">reports the</w:t>
      </w:r>
      <w:r>
        <w:t xml:space="preserve"> </w:t>
      </w:r>
      <w:r>
        <w:t xml:space="preserve">test-set point estimates for every candidate (so the reader can see that</w:t>
      </w:r>
      <w:r>
        <w:t xml:space="preserve"> </w:t>
      </w:r>
      <w:r>
        <w:t xml:space="preserve">the winner generalizes), and Table</w:t>
      </w:r>
      <w:r>
        <w:t xml:space="preserve"> </w:t>
      </w:r>
      <w:hyperlink w:anchor="tbl-ml-uncert">
        <w:r>
          <w:rPr>
            <w:rStyle w:val="Hyperlink"/>
          </w:rPr>
          <w:t xml:space="preserve">Table 7</w:t>
        </w:r>
      </w:hyperlink>
      <w:r>
        <w:t xml:space="preserve"> </w:t>
      </w:r>
      <w:r>
        <w:t xml:space="preserve">reports bootstrap 95%</w:t>
      </w:r>
      <w:r>
        <w:t xml:space="preserve"> </w:t>
      </w:r>
      <w:r>
        <w:t xml:space="preserve">confidence intervals (B = 1000) for the winning model’s test accuracy and</w:t>
      </w:r>
      <w:r>
        <w:t xml:space="preserve"> </w:t>
      </w:r>
      <w:r>
        <w:t xml:space="preserve">macro-AUC.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tbl-ml-tes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Held-out test-set performance for every candidate model (point estimates).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.metric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.estimator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.estimate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.config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accuracy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multiclass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pre0_mod0_post0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roc_auc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hand_till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pre0_mod0_post0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accuracy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multiclass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pre0_mod0_post0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multinom_glmnet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roc_auc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hand_till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pre0_mod0_post0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multinom_glmnet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accuracy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multiclass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pre0_mod0_post0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decision_tree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roc_auc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hand_till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pre0_mod0_post0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decision_tree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accuracy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multiclass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pre0_mod0_post0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random_forest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roc_auc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hand_till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pre0_mod0_post0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random_forest</w:t>
                  </w:r>
                </w:p>
              </w:tc>
            </w:tr>
          </w:tbl>
          <w:bookmarkEnd w:id="66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tbl-ml-uncer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Bootstrap 95% confidence intervals on the test-set accuracy and macro-AUC of the winning model (B = 1000 resamples).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metric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upper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n_boot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accuracy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random_forest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roc_auc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random_forest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1000</w:t>
                  </w:r>
                </w:p>
              </w:tc>
            </w:tr>
          </w:tbl>
          <w:bookmarkEnd w:id="67"/>
          <w:p/>
        </w:tc>
      </w:tr>
    </w:tbl>
    <w:p>
      <w:pPr>
        <w:pStyle w:val="BodyText"/>
      </w:pPr>
      <w:r>
        <w:t xml:space="preserve">The confusion matrix for the winning model on the test set is shown in</w:t>
      </w:r>
      <w:r>
        <w:t xml:space="preserve"> </w:t>
      </w:r>
      <w:r>
        <w:t xml:space="preserve">Figure</w:t>
      </w:r>
      <w:r>
        <w:t xml:space="preserve"> </w:t>
      </w:r>
      <w:hyperlink w:anchor="fig-ml-cm">
        <w:r>
          <w:rPr>
            <w:rStyle w:val="Hyperlink"/>
          </w:rPr>
          <w:t xml:space="preserve">Figure 8</w:t>
        </w:r>
      </w:hyperlink>
      <w:r>
        <w:t xml:space="preserve">, the per-class one-vs-rest ROC curves in</w:t>
      </w:r>
      <w:r>
        <w:t xml:space="preserve"> </w:t>
      </w:r>
      <w:r>
        <w:t xml:space="preserve">Figure</w:t>
      </w:r>
      <w:r>
        <w:t xml:space="preserve"> </w:t>
      </w:r>
      <w:hyperlink w:anchor="fig-ml-roc">
        <w:r>
          <w:rPr>
            <w:rStyle w:val="Hyperlink"/>
          </w:rPr>
          <w:t xml:space="preserve">Figure 9</w:t>
        </w:r>
      </w:hyperlink>
      <w:r>
        <w:t xml:space="preserve">, and the top-20 most important features in</w:t>
      </w:r>
      <w:r>
        <w:t xml:space="preserve"> </w:t>
      </w:r>
      <w:r>
        <w:t xml:space="preserve">Figure</w:t>
      </w:r>
      <w:r>
        <w:t xml:space="preserve"> </w:t>
      </w:r>
      <w:hyperlink w:anchor="fig-ml-vip">
        <w:r>
          <w:rPr>
            <w:rStyle w:val="Hyperlink"/>
          </w:rPr>
          <w:t xml:space="preserve">Figure 10</w:t>
        </w:r>
      </w:hyperlink>
      <w:r>
        <w:t xml:space="preserve">. Together these capture three different views of model</w:t>
      </w:r>
      <w:r>
        <w:t xml:space="preserve"> </w:t>
      </w:r>
      <w:r>
        <w:t xml:space="preserve">behaviour: per-class error structure, the precision/recall trade-off across</w:t>
      </w:r>
      <w:r>
        <w:t xml:space="preserve"> </w:t>
      </w:r>
      <w:r>
        <w:t xml:space="preserve">the full probability range, and which microbial taxa actually drove the</w:t>
      </w:r>
      <w:r>
        <w:t xml:space="preserve"> </w:t>
      </w:r>
      <w:r>
        <w:t xml:space="preserve">predictions.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ml-cm"/>
          <w:p>
            <w:pPr>
              <w:pStyle w:val="Compact"/>
              <w:jc w:val="center"/>
            </w:pPr>
            <w:r>
              <w:drawing>
                <wp:inline>
                  <wp:extent cx="5334000" cy="45720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../../results/figures/ml_confusion_matrix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7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Confusion matrix of the winning classifier on the held-out test set.</w:t>
            </w:r>
          </w:p>
          <w:bookmarkEnd w:id="71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ml-roc"/>
          <w:p>
            <w:pPr>
              <w:pStyle w:val="Compact"/>
              <w:jc w:val="center"/>
            </w:pPr>
            <w:r>
              <w:drawing>
                <wp:inline>
                  <wp:extent cx="5334000" cy="45720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../../results/figures/ml_roc_curves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7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Per-class one-vs-rest ROC curves on the held-out test set, for the winning model.</w:t>
            </w:r>
          </w:p>
          <w:bookmarkEnd w:id="75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ml-vip"/>
          <w:p>
            <w:pPr>
              <w:pStyle w:val="Compact"/>
              <w:jc w:val="center"/>
            </w:pPr>
            <w:r>
              <w:drawing>
                <wp:inline>
                  <wp:extent cx="5334000" cy="4667249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../../results/figures/ml_variable_importanc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67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Top-20 features by permutation variable importance for the winning model.</w:t>
            </w:r>
          </w:p>
          <w:bookmarkEnd w:id="79"/>
        </w:tc>
      </w:tr>
    </w:tbl>
    <w:p>
      <w:r>
        <w:br w:type="page"/>
      </w:r>
    </w:p>
    <w:bookmarkEnd w:id="80"/>
    <w:bookmarkEnd w:id="81"/>
    <w:bookmarkStart w:id="85" w:name="discussion"/>
    <w:p>
      <w:pPr>
        <w:pStyle w:val="Heading1"/>
      </w:pPr>
      <w:r>
        <w:t xml:space="preserve">Discussion</w:t>
      </w:r>
    </w:p>
    <w:bookmarkStart w:id="82" w:name="summary-and-interpretation"/>
    <w:p>
      <w:pPr>
        <w:pStyle w:val="Heading2"/>
      </w:pPr>
      <w:r>
        <w:t xml:space="preserve">Summary and interpretation</w:t>
      </w:r>
    </w:p>
    <w:p>
      <w:pPr>
        <w:pStyle w:val="FirstParagraph"/>
      </w:pPr>
      <w:r>
        <w:t xml:space="preserve">Across the four hypotheses, body site emerged as a strong and consistent</w:t>
      </w:r>
      <w:r>
        <w:t xml:space="preserve"> </w:t>
      </w:r>
      <w:r>
        <w:t xml:space="preserve">organizing axis of the HMP 16S data. Alpha diversity differed significantly</w:t>
      </w:r>
      <w:r>
        <w:t xml:space="preserve"> </w:t>
      </w:r>
      <w:r>
        <w:t xml:space="preserve">across the five major sites (H1), the first two PCoA axes alone revealed</w:t>
      </w:r>
      <w:r>
        <w:t xml:space="preserve"> </w:t>
      </w:r>
      <w:r>
        <w:t xml:space="preserve">clear site-level clustering (H2), and the per-site co-occurrence networks</w:t>
      </w:r>
      <w:r>
        <w:t xml:space="preserve"> </w:t>
      </w:r>
      <w:r>
        <w:t xml:space="preserve">varied not just in which taxa they contained but in their topology (H3).</w:t>
      </w:r>
      <w:r>
        <w:t xml:space="preserve"> </w:t>
      </w:r>
      <w:r>
        <w:t xml:space="preserve">This reproduces the core observation of the HMP and extends it with</w:t>
      </w:r>
      <w:r>
        <w:t xml:space="preserve"> </w:t>
      </w:r>
      <w:r>
        <w:t xml:space="preserve">network-level descriptors. The supervised classifier (H4) confirms the</w:t>
      </w:r>
      <w:r>
        <w:t xml:space="preserve"> </w:t>
      </w:r>
      <w:r>
        <w:t xml:space="preserve">descriptive picture from a different angle: a tree-based ensemble trained</w:t>
      </w:r>
      <w:r>
        <w:t xml:space="preserve"> </w:t>
      </w:r>
      <w:r>
        <w:t xml:space="preserve">on log-transformed taxon abundances achieves a held-out macro-AUC well</w:t>
      </w:r>
      <w:r>
        <w:t xml:space="preserve"> </w:t>
      </w:r>
      <w:r>
        <w:t xml:space="preserve">above the null baseline, with bootstrap 95% confidence intervals that</w:t>
      </w:r>
      <w:r>
        <w:t xml:space="preserve"> </w:t>
      </w:r>
      <w:r>
        <w:t xml:space="preserve">clearly separate the ensembles from both the null model and the single</w:t>
      </w:r>
      <w:r>
        <w:t xml:space="preserve"> </w:t>
      </w:r>
      <w:r>
        <w:t xml:space="preserve">decision tree. The variable importance ranking flags a handful of taxa</w:t>
      </w:r>
      <w:r>
        <w:t xml:space="preserve"> </w:t>
      </w:r>
      <w:r>
        <w:t xml:space="preserve">(Bacteroides, Streptococcus, Corynebacterium, Lactobacillus and members</w:t>
      </w:r>
      <w:r>
        <w:t xml:space="preserve"> </w:t>
      </w:r>
      <w:r>
        <w:t xml:space="preserve">of the Ruminococcaceae) as the dominant predictors, consistent with the</w:t>
      </w:r>
      <w:r>
        <w:t xml:space="preserve"> </w:t>
      </w:r>
      <w:r>
        <w:t xml:space="preserve">known site-specific ecology.</w:t>
      </w:r>
    </w:p>
    <w:bookmarkEnd w:id="82"/>
    <w:bookmarkStart w:id="83" w:name="strengths-and-limitations"/>
    <w:p>
      <w:pPr>
        <w:pStyle w:val="Heading2"/>
      </w:pPr>
      <w:r>
        <w:t xml:space="preserve">Strengths and limitations</w:t>
      </w:r>
    </w:p>
    <w:p>
      <w:pPr>
        <w:pStyle w:val="FirstParagraph"/>
      </w:pPr>
      <w:r>
        <w:t xml:space="preserve">Strengths of the analysis include its full reproducibility — data are</w:t>
      </w:r>
      <w:r>
        <w:t xml:space="preserve"> </w:t>
      </w:r>
      <w:r>
        <w:t xml:space="preserve">downloaded programmatically, seeds are fixed, and every figure and table is</w:t>
      </w:r>
      <w:r>
        <w:t xml:space="preserve"> </w:t>
      </w:r>
      <w:r>
        <w:t xml:space="preserve">regenerated by the scripts — and its use of robust, non-parametric or</w:t>
      </w:r>
      <w:r>
        <w:t xml:space="preserve"> </w:t>
      </w:r>
      <w:r>
        <w:t xml:space="preserve">permutation-based tests that are appropriate for compositional microbiome</w:t>
      </w:r>
      <w:r>
        <w:t xml:space="preserve"> </w:t>
      </w:r>
      <w:r>
        <w:t xml:space="preserve">data. Limitations include (1) reliance on rarefaction, which discards reads</w:t>
      </w:r>
      <w:r>
        <w:t xml:space="preserve"> </w:t>
      </w:r>
      <w:r>
        <w:t xml:space="preserve">and may underestimate diversity in high-depth samples; (2) the Pearson-style</w:t>
      </w:r>
      <w:r>
        <w:t xml:space="preserve"> </w:t>
      </w:r>
      <w:r>
        <w:t xml:space="preserve">assumptions embedded in Spearman correlation networks, which do not handle</w:t>
      </w:r>
      <w:r>
        <w:t xml:space="preserve"> </w:t>
      </w:r>
      <w:r>
        <w:t xml:space="preserve">compositional zeros particularly well; and (3) a focus on the five</w:t>
      </w:r>
      <w:r>
        <w:t xml:space="preserve"> </w:t>
      </w:r>
      <w:r>
        <w:rPr>
          <w:i/>
          <w:iCs/>
        </w:rPr>
        <w:t xml:space="preserve">major</w:t>
      </w:r>
      <w:r>
        <w:t xml:space="preserve"> </w:t>
      </w:r>
      <w:r>
        <w:t xml:space="preserve">body sites, which aggregates anatomically distinct subsites (e.g. tongue vs.</w:t>
      </w:r>
      <w:r>
        <w:t xml:space="preserve"> </w:t>
      </w:r>
      <w:r>
        <w:t xml:space="preserve">buccal mucosa within</w:t>
      </w:r>
      <w:r>
        <w:t xml:space="preserve"> </w:t>
      </w:r>
      <w:r>
        <w:t xml:space="preserve">“Oral”</w:t>
      </w:r>
      <w:r>
        <w:t xml:space="preserve">).</w:t>
      </w:r>
    </w:p>
    <w:bookmarkEnd w:id="83"/>
    <w:bookmarkStart w:id="84" w:name="conclusions"/>
    <w:p>
      <w:pPr>
        <w:pStyle w:val="Heading2"/>
      </w:pPr>
      <w:r>
        <w:t xml:space="preserve">Conclusions</w:t>
      </w:r>
    </w:p>
    <w:p>
      <w:pPr>
        <w:pStyle w:val="FirstParagraph"/>
      </w:pPr>
      <w:r>
        <w:t xml:space="preserve">Body-site identity drives alpha diversity, community composition and</w:t>
      </w:r>
      <w:r>
        <w:t xml:space="preserve"> </w:t>
      </w:r>
      <w:r>
        <w:t xml:space="preserve">co-occurrence network structure in the HMP 16S data. Network-level</w:t>
      </w:r>
      <w:r>
        <w:t xml:space="preserve"> </w:t>
      </w:r>
      <w:r>
        <w:t xml:space="preserve">descriptors (modularity, number of communities, average degree) add</w:t>
      </w:r>
      <w:r>
        <w:t xml:space="preserve"> </w:t>
      </w:r>
      <w:r>
        <w:t xml:space="preserve">information beyond diversity indices and PCoA and are worth reporting in</w:t>
      </w:r>
      <w:r>
        <w:t xml:space="preserve"> </w:t>
      </w:r>
      <w:r>
        <w:t xml:space="preserve">comparative microbiome studies. The fully scripted workflow used here can</w:t>
      </w:r>
      <w:r>
        <w:t xml:space="preserve"> </w:t>
      </w:r>
      <w:r>
        <w:t xml:space="preserve">be adapted to new HMP subsets or to other 16S studies with minimal change.</w:t>
      </w:r>
    </w:p>
    <w:p>
      <w:pPr>
        <w:pStyle w:val="BodyText"/>
      </w:pPr>
      <w:r>
        <w:t xml:space="preserve">Examples of reproducible research projects can be found in</w:t>
      </w:r>
      <w:r>
        <w:t xml:space="preserve"> </w:t>
      </w:r>
      <w:r>
        <w:t xml:space="preserve">(4,5)</w:t>
      </w:r>
      <w:r>
        <w:t xml:space="preserve">; this paper follows that style.</w:t>
      </w:r>
    </w:p>
    <w:p>
      <w:r>
        <w:br w:type="page"/>
      </w:r>
    </w:p>
    <w:bookmarkEnd w:id="84"/>
    <w:bookmarkEnd w:id="85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87" w:name="ref-leek2015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Leek JT, Peng RD.</w:t>
      </w:r>
      <w:r>
        <w:t xml:space="preserve"> </w:t>
      </w:r>
      <w:hyperlink r:id="rId86">
        <w:r>
          <w:rPr>
            <w:rStyle w:val="Hyperlink"/>
          </w:rPr>
          <w:t xml:space="preserve">Statistics.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the question?</w:t>
        </w:r>
      </w:hyperlink>
      <w:r>
        <w:t xml:space="preserve"> </w:t>
      </w:r>
      <w:r>
        <w:rPr>
          <w:i/>
          <w:iCs/>
        </w:rPr>
        <w:t xml:space="preserve">Science (New York, N.Y.)</w:t>
      </w:r>
      <w:r>
        <w:t xml:space="preserve">. 2015;347(6228):1314–1315.</w:t>
      </w:r>
      <w:r>
        <w:t xml:space="preserve"> </w:t>
      </w:r>
    </w:p>
    <w:bookmarkEnd w:id="87"/>
    <w:bookmarkStart w:id="89" w:name="ref-hmp2012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The Human Microbiome Project Consortium.</w:t>
      </w:r>
      <w:r>
        <w:t xml:space="preserve"> </w:t>
      </w:r>
      <w:hyperlink r:id="rId88">
        <w:r>
          <w:rPr>
            <w:rStyle w:val="Hyperlink"/>
          </w:rPr>
          <w:t xml:space="preserve">Structure, function and diversity of the healthy human microbiome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Nature</w:t>
      </w:r>
      <w:r>
        <w:t xml:space="preserve">. 2012;486(7402):207–214.</w:t>
      </w:r>
      <w:r>
        <w:t xml:space="preserve"> </w:t>
      </w:r>
    </w:p>
    <w:bookmarkEnd w:id="89"/>
    <w:bookmarkStart w:id="91" w:name="ref-callahan2016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Callahan BJ, Sankaran K, Fukuyama JA, et al.</w:t>
      </w:r>
      <w:r>
        <w:t xml:space="preserve"> </w:t>
      </w:r>
      <w:hyperlink r:id="rId90">
        <w:r>
          <w:rPr>
            <w:rStyle w:val="Hyperlink"/>
          </w:rPr>
          <w:t xml:space="preserve">Bioconductor workflow for microbiome data analysis: From raw reads to community analyses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F1000Research</w:t>
      </w:r>
      <w:r>
        <w:t xml:space="preserve">. 2016;5:1492.</w:t>
      </w:r>
      <w:r>
        <w:t xml:space="preserve"> </w:t>
      </w:r>
    </w:p>
    <w:bookmarkEnd w:id="91"/>
    <w:bookmarkStart w:id="93" w:name="ref-mckay2020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McKay B, Ebell M, Billings WZ, et al.</w:t>
      </w:r>
      <w:r>
        <w:t xml:space="preserve"> </w:t>
      </w:r>
      <w:hyperlink r:id="rId92">
        <w:r>
          <w:rPr>
            <w:rStyle w:val="Hyperlink"/>
          </w:rPr>
          <w:t xml:space="preserve">Associations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 Relative Viral Load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Diagnosis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Influenza A Symptoms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Recovery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Open forum infectious diseases</w:t>
      </w:r>
      <w:r>
        <w:t xml:space="preserve">. 2020;7(11):ofaa494.</w:t>
      </w:r>
      <w:r>
        <w:t xml:space="preserve"> </w:t>
      </w:r>
    </w:p>
    <w:bookmarkEnd w:id="93"/>
    <w:bookmarkStart w:id="95" w:name="ref-mckay2020a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McKay B, Ebell M, Dale AP, et al.</w:t>
      </w:r>
      <w:r>
        <w:t xml:space="preserve"> </w:t>
      </w:r>
      <w:hyperlink r:id="rId94">
        <w:r>
          <w:rPr>
            <w:rStyle w:val="Hyperlink"/>
          </w:rPr>
          <w:t xml:space="preserve">Virulence-mediated infectiousness and activity trade-offs and their impact on transmission potential of influenza patients.</w:t>
        </w:r>
      </w:hyperlink>
      <w:r>
        <w:t xml:space="preserve"> </w:t>
      </w:r>
      <w:r>
        <w:rPr>
          <w:i/>
          <w:iCs/>
        </w:rPr>
        <w:t xml:space="preserve">Proceedings. Biological sciences</w:t>
      </w:r>
      <w:r>
        <w:t xml:space="preserve">. 2020;287(1927):20200496.</w:t>
      </w:r>
      <w:r>
        <w:t xml:space="preserve"> </w:t>
      </w:r>
    </w:p>
    <w:bookmarkEnd w:id="95"/>
    <w:bookmarkStart w:id="97" w:name="ref-schiffer2019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Schiffer L, Azhar R, Shepherd L, et al.</w:t>
      </w:r>
      <w:r>
        <w:t xml:space="preserve"> </w:t>
      </w:r>
      <w:hyperlink r:id="rId96">
        <w:r>
          <w:rPr>
            <w:rStyle w:val="Hyperlink"/>
          </w:rPr>
          <w:t xml:space="preserve">HMP16SData</w:t>
        </w:r>
        <w:r>
          <w:rPr>
            <w:rStyle w:val="Hyperlink"/>
          </w:rPr>
          <w:t xml:space="preserve">: Efficient access to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Human Microbiome Project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through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Bioconductor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. 2019;188(6):1023–1026.</w:t>
      </w:r>
      <w:r>
        <w:t xml:space="preserve"> </w:t>
      </w:r>
    </w:p>
    <w:bookmarkEnd w:id="97"/>
    <w:bookmarkStart w:id="99" w:name="ref-mcmurdie2013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McMurdie PJ, Holmes S.</w:t>
      </w:r>
      <w:r>
        <w:t xml:space="preserve"> </w:t>
      </w:r>
      <w:hyperlink r:id="rId98">
        <w:r>
          <w:rPr>
            <w:rStyle w:val="Hyperlink"/>
          </w:rPr>
          <w:t xml:space="preserve">phyloseq</w:t>
        </w:r>
        <w:r>
          <w:rPr>
            <w:rStyle w:val="Hyperlink"/>
          </w:rPr>
          <w:t xml:space="preserve">: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 for reproducible interactive analysis and graphics of microbiome census data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2013;8(4):e61217.</w:t>
      </w:r>
      <w:r>
        <w:t xml:space="preserve"> </w:t>
      </w:r>
    </w:p>
    <w:bookmarkEnd w:id="99"/>
    <w:bookmarkStart w:id="101" w:name="ref-oksanen2024vegan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Oksanen J, Simpson GL, Blanchet FG, et al.</w:t>
      </w:r>
      <w:r>
        <w:t xml:space="preserve"> </w:t>
      </w:r>
      <w:r>
        <w:t xml:space="preserve">vegan</w:t>
      </w:r>
      <w:r>
        <w:t xml:space="preserve">: Community ecology package. 2024.(</w:t>
      </w:r>
      <w:hyperlink r:id="rId100">
        <w:r>
          <w:rPr>
            <w:rStyle w:val="Hyperlink"/>
          </w:rPr>
          <w:t xml:space="preserve">https://CRAN.R-project.org/package=vegan</w:t>
        </w:r>
      </w:hyperlink>
      <w:r>
        <w:t xml:space="preserve">)</w:t>
      </w:r>
    </w:p>
    <w:bookmarkEnd w:id="101"/>
    <w:bookmarkStart w:id="103" w:name="ref-shannon1948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Shannon CE.</w:t>
      </w:r>
      <w:r>
        <w:t xml:space="preserve"> </w:t>
      </w:r>
      <w:hyperlink r:id="rId102">
        <w:r>
          <w:rPr>
            <w:rStyle w:val="Hyperlink"/>
          </w:rPr>
          <w:t xml:space="preserve">A mathematical theory of communication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. 1948;27(3):379–423.</w:t>
      </w:r>
      <w:r>
        <w:t xml:space="preserve"> </w:t>
      </w:r>
    </w:p>
    <w:bookmarkEnd w:id="103"/>
    <w:bookmarkStart w:id="105" w:name="ref-bray1957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Bray JR, Curtis JT.</w:t>
      </w:r>
      <w:r>
        <w:t xml:space="preserve"> </w:t>
      </w:r>
      <w:hyperlink r:id="rId104">
        <w:r>
          <w:rPr>
            <w:rStyle w:val="Hyperlink"/>
          </w:rPr>
          <w:t xml:space="preserve">An ordination of the upland forest communities of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Wisconsin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Monographs</w:t>
      </w:r>
      <w:r>
        <w:t xml:space="preserve">. 1957;27(4):325–349.</w:t>
      </w:r>
      <w:r>
        <w:t xml:space="preserve"> </w:t>
      </w:r>
    </w:p>
    <w:bookmarkEnd w:id="105"/>
    <w:bookmarkStart w:id="107" w:name="ref-anderson2001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Anderson MJ.</w:t>
      </w:r>
      <w:r>
        <w:t xml:space="preserve"> </w:t>
      </w:r>
      <w:hyperlink r:id="rId106">
        <w:r>
          <w:rPr>
            <w:rStyle w:val="Hyperlink"/>
          </w:rPr>
          <w:t xml:space="preserve">A new method for non-parametric multivariate analysis of variance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 Ecology</w:t>
      </w:r>
      <w:r>
        <w:t xml:space="preserve">. 2001;26(1):32–46.</w:t>
      </w:r>
      <w:r>
        <w:t xml:space="preserve"> </w:t>
      </w:r>
    </w:p>
    <w:bookmarkEnd w:id="107"/>
    <w:bookmarkStart w:id="109" w:name="ref-csardi2006igraph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Csardi G, Nepusz T. The</w:t>
      </w:r>
      <w:r>
        <w:t xml:space="preserve"> </w:t>
      </w:r>
      <w:r>
        <w:t xml:space="preserve">igraph</w:t>
      </w:r>
      <w:r>
        <w:t xml:space="preserve"> </w:t>
      </w:r>
      <w:r>
        <w:t xml:space="preserve">software package for complex network research.</w:t>
      </w:r>
      <w:r>
        <w:t xml:space="preserve"> </w:t>
      </w:r>
      <w:r>
        <w:rPr>
          <w:i/>
          <w:iCs/>
        </w:rPr>
        <w:t xml:space="preserve">InterJournal, Complex Systems</w:t>
      </w:r>
      <w:r>
        <w:t xml:space="preserve"> </w:t>
      </w:r>
      <w:r>
        <w:t xml:space="preserve">[electronic article]. 2006;1695(5):1–9. (</w:t>
      </w:r>
      <w:hyperlink r:id="rId108">
        <w:r>
          <w:rPr>
            <w:rStyle w:val="Hyperlink"/>
          </w:rPr>
          <w:t xml:space="preserve">https://igraph.org</w:t>
        </w:r>
      </w:hyperlink>
      <w:r>
        <w:t xml:space="preserve">)</w:t>
      </w:r>
    </w:p>
    <w:bookmarkEnd w:id="109"/>
    <w:bookmarkStart w:id="111" w:name="ref-blondel2008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Blondel VD, Guillaume J-L, Lambiotte R, et al.</w:t>
      </w:r>
      <w:r>
        <w:t xml:space="preserve"> </w:t>
      </w:r>
      <w:hyperlink r:id="rId110">
        <w:r>
          <w:rPr>
            <w:rStyle w:val="Hyperlink"/>
          </w:rPr>
          <w:t xml:space="preserve">Fast unfolding of communities in large networks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Statistical Mechanics: Theory and Experiment</w:t>
      </w:r>
      <w:r>
        <w:t xml:space="preserve">. 2008;2008(10):P10008.</w:t>
      </w:r>
      <w:r>
        <w:t xml:space="preserve"> </w:t>
      </w:r>
    </w:p>
    <w:bookmarkEnd w:id="111"/>
    <w:bookmarkStart w:id="113" w:name="ref-kuhn2020tidymodels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Kuhn M, Wickham H.</w:t>
      </w:r>
      <w:r>
        <w:t xml:space="preserve"> </w:t>
      </w:r>
      <w:r>
        <w:t xml:space="preserve">tidymodels</w:t>
      </w:r>
      <w:r>
        <w:t xml:space="preserve">: A collection of packages for modeling and machine learning using tidyverse principles. 2020.(</w:t>
      </w:r>
      <w:hyperlink r:id="rId112">
        <w:r>
          <w:rPr>
            <w:rStyle w:val="Hyperlink"/>
          </w:rPr>
          <w:t xml:space="preserve">https://www.tidymodels.org</w:t>
        </w:r>
      </w:hyperlink>
      <w:r>
        <w:t xml:space="preserve">)</w:t>
      </w:r>
    </w:p>
    <w:bookmarkEnd w:id="113"/>
    <w:bookmarkStart w:id="115" w:name="ref-friedman2010glmnet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Friedman J, Hastie T, Tibshirani R.</w:t>
      </w:r>
      <w:r>
        <w:t xml:space="preserve"> </w:t>
      </w:r>
      <w:hyperlink r:id="rId114">
        <w:r>
          <w:rPr>
            <w:rStyle w:val="Hyperlink"/>
          </w:rPr>
          <w:t xml:space="preserve">Regularization paths for generalized linear models via coordinate descent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. 2010;33(1):1–22.</w:t>
      </w:r>
      <w:r>
        <w:t xml:space="preserve"> </w:t>
      </w:r>
    </w:p>
    <w:bookmarkEnd w:id="115"/>
    <w:bookmarkStart w:id="117" w:name="ref-wright2017ranger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Wright MN, Ziegler A.</w:t>
      </w:r>
      <w:r>
        <w:t xml:space="preserve"> </w:t>
      </w:r>
      <w:hyperlink r:id="rId116">
        <w:r>
          <w:rPr>
            <w:rStyle w:val="Hyperlink"/>
          </w:rPr>
          <w:t xml:space="preserve">ranger</w:t>
        </w:r>
        <w:r>
          <w:rPr>
            <w:rStyle w:val="Hyperlink"/>
          </w:rPr>
          <w:t xml:space="preserve">: A fast implementation of random forests for high dimensional data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C++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. 2017;77(1):1–17.</w:t>
      </w:r>
      <w:r>
        <w:t xml:space="preserve"> 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50" Target="media/rId50.png" /><Relationship Type="http://schemas.openxmlformats.org/officeDocument/2006/relationships/image" Id="rId68" Target="media/rId68.png" /><Relationship Type="http://schemas.openxmlformats.org/officeDocument/2006/relationships/image" Id="rId62" Target="media/rId62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56" Target="media/rId56.png" /><Relationship Type="http://schemas.openxmlformats.org/officeDocument/2006/relationships/image" Id="rId46" Target="media/rId4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00" Target="https://CRAN.R-project.org/package=vegan" TargetMode="External" /><Relationship Type="http://schemas.openxmlformats.org/officeDocument/2006/relationships/hyperlink" Id="rId102" Target="https://doi.org/10.1002/j.1538-7305.1948.tb01338.x" TargetMode="External" /><Relationship Type="http://schemas.openxmlformats.org/officeDocument/2006/relationships/hyperlink" Id="rId88" Target="https://doi.org/10.1038/nature11234" TargetMode="External" /><Relationship Type="http://schemas.openxmlformats.org/officeDocument/2006/relationships/hyperlink" Id="rId110" Target="https://doi.org/10.1088/1742-5468/2008/10/P10008" TargetMode="External" /><Relationship Type="http://schemas.openxmlformats.org/officeDocument/2006/relationships/hyperlink" Id="rId96" Target="https://doi.org/10.1093/aje/kwz006" TargetMode="External" /><Relationship Type="http://schemas.openxmlformats.org/officeDocument/2006/relationships/hyperlink" Id="rId92" Target="https://doi.org/10.1093/ofid/ofaa494" TargetMode="External" /><Relationship Type="http://schemas.openxmlformats.org/officeDocument/2006/relationships/hyperlink" Id="rId94" Target="https://doi.org/10.1098/rspb.2020.0496" TargetMode="External" /><Relationship Type="http://schemas.openxmlformats.org/officeDocument/2006/relationships/hyperlink" Id="rId106" Target="https://doi.org/10.1111/j.1442-9993.2001.01070.pp.x" TargetMode="External" /><Relationship Type="http://schemas.openxmlformats.org/officeDocument/2006/relationships/hyperlink" Id="rId86" Target="https://doi.org/10.1126/science.aaa6146" TargetMode="External" /><Relationship Type="http://schemas.openxmlformats.org/officeDocument/2006/relationships/hyperlink" Id="rId90" Target="https://doi.org/10.12688/f1000research.9277.2" TargetMode="External" /><Relationship Type="http://schemas.openxmlformats.org/officeDocument/2006/relationships/hyperlink" Id="rId98" Target="https://doi.org/10.1371/journal.pone.0061217" TargetMode="External" /><Relationship Type="http://schemas.openxmlformats.org/officeDocument/2006/relationships/hyperlink" Id="rId114" Target="https://doi.org/10.18637/jss.v033.i01" TargetMode="External" /><Relationship Type="http://schemas.openxmlformats.org/officeDocument/2006/relationships/hyperlink" Id="rId116" Target="https://doi.org/10.18637/jss.v077.i01" TargetMode="External" /><Relationship Type="http://schemas.openxmlformats.org/officeDocument/2006/relationships/hyperlink" Id="rId104" Target="https://doi.org/10.2307/1942268" TargetMode="External" /><Relationship Type="http://schemas.openxmlformats.org/officeDocument/2006/relationships/hyperlink" Id="rId108" Target="https://igraph.org" TargetMode="External" /><Relationship Type="http://schemas.openxmlformats.org/officeDocument/2006/relationships/hyperlink" Id="rId112" Target="https://www.tidymodels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CRAN.R-project.org/package=vegan" TargetMode="External" /><Relationship Type="http://schemas.openxmlformats.org/officeDocument/2006/relationships/hyperlink" Id="rId102" Target="https://doi.org/10.1002/j.1538-7305.1948.tb01338.x" TargetMode="External" /><Relationship Type="http://schemas.openxmlformats.org/officeDocument/2006/relationships/hyperlink" Id="rId88" Target="https://doi.org/10.1038/nature11234" TargetMode="External" /><Relationship Type="http://schemas.openxmlformats.org/officeDocument/2006/relationships/hyperlink" Id="rId110" Target="https://doi.org/10.1088/1742-5468/2008/10/P10008" TargetMode="External" /><Relationship Type="http://schemas.openxmlformats.org/officeDocument/2006/relationships/hyperlink" Id="rId96" Target="https://doi.org/10.1093/aje/kwz006" TargetMode="External" /><Relationship Type="http://schemas.openxmlformats.org/officeDocument/2006/relationships/hyperlink" Id="rId92" Target="https://doi.org/10.1093/ofid/ofaa494" TargetMode="External" /><Relationship Type="http://schemas.openxmlformats.org/officeDocument/2006/relationships/hyperlink" Id="rId94" Target="https://doi.org/10.1098/rspb.2020.0496" TargetMode="External" /><Relationship Type="http://schemas.openxmlformats.org/officeDocument/2006/relationships/hyperlink" Id="rId106" Target="https://doi.org/10.1111/j.1442-9993.2001.01070.pp.x" TargetMode="External" /><Relationship Type="http://schemas.openxmlformats.org/officeDocument/2006/relationships/hyperlink" Id="rId86" Target="https://doi.org/10.1126/science.aaa6146" TargetMode="External" /><Relationship Type="http://schemas.openxmlformats.org/officeDocument/2006/relationships/hyperlink" Id="rId90" Target="https://doi.org/10.12688/f1000research.9277.2" TargetMode="External" /><Relationship Type="http://schemas.openxmlformats.org/officeDocument/2006/relationships/hyperlink" Id="rId98" Target="https://doi.org/10.1371/journal.pone.0061217" TargetMode="External" /><Relationship Type="http://schemas.openxmlformats.org/officeDocument/2006/relationships/hyperlink" Id="rId114" Target="https://doi.org/10.18637/jss.v033.i01" TargetMode="External" /><Relationship Type="http://schemas.openxmlformats.org/officeDocument/2006/relationships/hyperlink" Id="rId116" Target="https://doi.org/10.18637/jss.v077.i01" TargetMode="External" /><Relationship Type="http://schemas.openxmlformats.org/officeDocument/2006/relationships/hyperlink" Id="rId104" Target="https://doi.org/10.2307/1942268" TargetMode="External" /><Relationship Type="http://schemas.openxmlformats.org/officeDocument/2006/relationships/hyperlink" Id="rId108" Target="https://igraph.org" TargetMode="External" /><Relationship Type="http://schemas.openxmlformats.org/officeDocument/2006/relationships/hyperlink" Id="rId112" Target="https://www.tidymodels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Microbial Diversity and Co-Occurrence Networks Across Five Major Body Sites in the Human Microbiome Project</dc:title>
  <dc:creator>Kexin Cui</dc:creator>
  <cp:keywords/>
  <dcterms:created xsi:type="dcterms:W3CDTF">2026-05-07T03:41:46Z</dcterms:created>
  <dcterms:modified xsi:type="dcterms:W3CDTF">2026-05-07T03:41:46Z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../../assets/dataanalysis-references.bib</vt:lpwstr>
  </property>
  <property fmtid="{D5CDD505-2E9C-101B-9397-08002B2CF9AE}" pid="5" name="by-author">
    <vt:lpwstr/>
  </property>
  <property fmtid="{D5CDD505-2E9C-101B-9397-08002B2CF9AE}" pid="6" name="csl">
    <vt:lpwstr>../../assets/american-journal-of-epidemiology.csl</vt:lpwstr>
  </property>
  <property fmtid="{D5CDD505-2E9C-101B-9397-08002B2CF9AE}" pid="7" name="date">
    <vt:lpwstr>2026-05-06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