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广州市荔湾区广雅后街8号101房之四A417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广东恒德建设工程有限公司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广州市荔湾区广雅后街8号101房之四A417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邓田梅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91440101MA9UQ75K75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广州市荔湾区广雅后街8号101房之四A417</w:t>
      </w:r>
      <w:r w:rsidR="005B2771">
        <w:rPr>
          <w:rFonts w:ascii="仿宋_GB2312" w:eastAsia="仿宋_GB2312"/>
          <w:sz w:val="24"/>
          <w:szCs w:val="24"/>
          <w:u w:val="single"/>
        </w:rPr>
        <w:t>广东恒德建设工程有限公司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