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广州市荔湾区广雅后街8号101房之四A432房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广州印家互联科技有限公司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广州市荔湾区广雅后街8号101房之四A432房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黄修波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91440101MA9UTTL1XL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广州市荔湾区广雅后街8号101房之四A432房</w:t>
      </w:r>
      <w:r w:rsidR="005B2771">
        <w:rPr>
          <w:rFonts w:ascii="仿宋_GB2312" w:eastAsia="仿宋_GB2312"/>
          <w:sz w:val="24"/>
          <w:szCs w:val="24"/>
          <w:u w:val="single"/>
        </w:rPr>
        <w:t>广州印家互联科技有限公司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