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广州市荔湾区广雅后街8号101房之四A410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广州市荔湾区好劲服装辅料经营部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广州市荔湾区广雅后街8号101房之四A410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陈劲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92440101MA5AR87X98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广州市荔湾区广雅后街8号101房之四A410</w:t>
      </w:r>
      <w:r w:rsidR="005B2771">
        <w:rPr>
          <w:rFonts w:ascii="仿宋_GB2312" w:eastAsia="仿宋_GB2312"/>
          <w:sz w:val="24"/>
          <w:szCs w:val="24"/>
          <w:u w:val="single"/>
        </w:rPr>
        <w:t>广州市荔湾区好劲服装辅料经营部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