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广州市荔湾区广雅后街8号101房之四A452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广州锦霞科技有限公司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广州市荔湾区广雅后街8号101房之四A452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苏美霞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91440101MA9UY7R312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广州市荔湾区广雅后街8号101房之四A452</w:t>
      </w:r>
      <w:r w:rsidR="005B2771">
        <w:rPr>
          <w:rFonts w:ascii="仿宋_GB2312" w:eastAsia="仿宋_GB2312"/>
          <w:sz w:val="24"/>
          <w:szCs w:val="24"/>
          <w:u w:val="single"/>
        </w:rPr>
        <w:t>广州锦霞科技有限公司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