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8"/>
          <w:sz w:val="40"/>
          <w:szCs w:val="40"/>
        </w:rPr>
        <w:t xml:space="preserve">Inland Auto Detailing</w:t>
      </w:r>
    </w:p>
    <w:p>
      <w:pPr>
        <w:spacing w:after="40"/>
        <w:jc w:val="center"/>
      </w:pPr>
      <w:r>
        <w:rPr>
          <w:rFonts w:ascii="Arial" w:cs="Arial" w:eastAsia="Arial" w:hAnsi="Arial"/>
          <w:b/>
          <w:bCs/>
          <w:sz w:val="30"/>
          <w:szCs w:val="30"/>
        </w:rPr>
        <w:t xml:space="preserve">Meta Ads Performance Analysis (Revised)</w:t>
      </w:r>
    </w:p>
    <w:p>
      <w:pPr>
        <w:spacing w:after="360"/>
        <w:jc w:val="center"/>
      </w:pPr>
      <w:r>
        <w:rPr>
          <w:rFonts w:ascii="Arial" w:cs="Arial" w:eastAsia="Arial" w:hAnsi="Arial"/>
          <w:i/>
          <w:iCs/>
          <w:color w:val="666666"/>
          <w:sz w:val="20"/>
          <w:szCs w:val="20"/>
        </w:rPr>
        <w:t xml:space="preserve">Prepared by Isaac Castaneda  •  August 2026  •  v2, corrected</w:t>
      </w:r>
    </w:p>
    <w:p>
      <w:pPr>
        <w:shd w:fill="FDE9EA" w:val="clear"/>
        <w:spacing w:after="60"/>
      </w:pPr>
      <w:r>
        <w:rPr>
          <w:rFonts w:ascii="Arial" w:cs="Arial" w:eastAsia="Arial" w:hAnsi="Arial"/>
          <w:b/>
          <w:bCs/>
          <w:color w:val="9C0006"/>
          <w:sz w:val="21"/>
          <w:szCs w:val="21"/>
        </w:rPr>
        <w:t xml:space="preserve">Correction from the original version of this report:</w:t>
      </w:r>
    </w:p>
    <w:p>
      <w:pPr>
        <w:shd w:fill="FDE9EA" w:val="clear"/>
        <w:spacing w:after="240"/>
      </w:pPr>
      <w:r>
        <w:rPr>
          <w:rFonts w:ascii="Arial" w:cs="Arial" w:eastAsia="Arial" w:hAnsi="Arial"/>
          <w:b w:val="false"/>
          <w:bCs w:val="false"/>
          <w:color w:val="9C0006"/>
          <w:sz w:val="21"/>
          <w:szCs w:val="21"/>
        </w:rPr>
        <w:t xml:space="preserve">The first version of this analysis ranked “Turning a side hustle...” and an Algae-filled post as the top message-generating campaigns. A more detailed Meta export (with a Result Type field per row) showed that campaign was actually optimized for Instagram Profile Visits, and the Algae-filled post for Post Engagements — neither was measuring messages. Both were removed from the message-cost analysis below. This version filters strictly to rows where Result Type = “Messaging conversations started,” which is the metric that actually matters for a DM-to-book business.</w:t>
      </w:r>
    </w:p>
    <w:p>
      <w:pPr>
        <w:pStyle w:val="Heading1"/>
        <w:spacing w:after="160" w:before="320"/>
      </w:pPr>
      <w:r>
        <w:t xml:space="preserve">1. Overview</w:t>
      </w:r>
    </w:p>
    <w:p>
      <w:pPr>
        <w:spacing w:after="160" w:line="276"/>
      </w:pPr>
      <w:r>
        <w:rPr>
          <w:rFonts w:ascii="Arial" w:cs="Arial" w:eastAsia="Arial" w:hAnsi="Arial"/>
          <w:sz w:val="22"/>
          <w:szCs w:val="22"/>
        </w:rPr>
        <w:t xml:space="preserve">This report analyzes Meta ad campaigns for Inland Auto Detailing between January 1 and August 20, 2026, using a day-by-day, demographic-level export (614 rows) that includes an explicit Result Type per row. Filtering to only rows where Result Type = “Messaging conversations started” isolates the 159 real messaging conversations the account generated, out of $312.13 in true message-objective spend, and removes campaigns/rows that were actually optimized for other outcomes (profile visits, post engagement, leads).</w:t>
      </w:r>
    </w:p>
    <w:p>
      <w:pPr>
        <w:pStyle w:val="Heading1"/>
        <w:spacing w:after="160" w:before="320"/>
      </w:pPr>
      <w:r>
        <w:t xml:space="preserve">2. Corrected Campaign Results</w:t>
      </w:r>
    </w:p>
    <w:p>
      <w:pPr>
        <w:spacing w:after="160" w:line="276"/>
      </w:pPr>
      <w:r>
        <w:rPr>
          <w:rFonts w:ascii="Arial" w:cs="Arial" w:eastAsia="Arial" w:hAnsi="Arial"/>
          <w:sz w:val="22"/>
          <w:szCs w:val="22"/>
        </w:rPr>
        <w:t xml:space="preserve">Ranked by cost per message, messages-objective campaigns only: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1800"/>
      </w:tblGrid>
      <w:tr>
        <w:trPr>
          <w:tblHeader/>
        </w:trPr>
        <w:tc>
          <w:tcPr>
            <w:tcW w:type="dxa" w:w="3400"/>
            <w:shd w:fill="1F4E78" w:val="clear"/>
            <w:tcMar>
              <w:top w:type="dxa" w:w="60"/>
              <w:left w:type="dxa" w:w="100"/>
              <w:bottom w:type="dxa" w:w="60"/>
              <w:right w:type="dxa" w:w="100"/>
            </w:tcMar>
          </w:tcPr>
          <w:p>
            <w:pPr>
              <w:jc w:val="left"/>
            </w:pPr>
            <w:r>
              <w:rPr>
                <w:rFonts w:ascii="Arial" w:cs="Arial" w:eastAsia="Arial" w:hAnsi="Arial"/>
                <w:b/>
                <w:bCs/>
                <w:color w:val="FFFFFF"/>
                <w:sz w:val="19"/>
                <w:szCs w:val="19"/>
              </w:rPr>
              <w:t xml:space="preserve">Campaign (Messages objective only)</w:t>
            </w:r>
          </w:p>
        </w:tc>
        <w:tc>
          <w:tcPr>
            <w:tcW w:type="dxa" w:w="1600"/>
            <w:shd w:fill="1F4E78"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Messages</w:t>
            </w:r>
          </w:p>
        </w:tc>
        <w:tc>
          <w:tcPr>
            <w:tcW w:type="dxa" w:w="1600"/>
            <w:shd w:fill="1F4E78"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Spend</w:t>
            </w:r>
          </w:p>
        </w:tc>
        <w:tc>
          <w:tcPr>
            <w:tcW w:type="dxa" w:w="1800"/>
            <w:shd w:fill="1F4E78"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Cost/Message</w:t>
            </w:r>
          </w:p>
        </w:tc>
      </w:tr>
      <w:tr>
        <w:tc>
          <w:tcPr>
            <w:tcW w:type="dxa" w:w="34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Instagram post: Think that pet hair is impossible...</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$3.69</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$0.62</w:t>
            </w:r>
          </w:p>
        </w:tc>
      </w:tr>
      <w:tr>
        <w:tc>
          <w:tcPr>
            <w:tcW w:type="dxa" w:w="34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August Camp</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35</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$52.48</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$1.50</w:t>
            </w:r>
          </w:p>
        </w:tc>
      </w:tr>
      <w:tr>
        <w:tc>
          <w:tcPr>
            <w:tcW w:type="dxa" w:w="34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Post: “Denise’s reaction says it all...”</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17</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$27.47</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$1.62</w:t>
            </w:r>
          </w:p>
        </w:tc>
      </w:tr>
      <w:tr>
        <w:tc>
          <w:tcPr>
            <w:tcW w:type="dxa" w:w="34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Post: “Full step-by-step breakdown...”</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$9.68</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$1.94</w:t>
            </w:r>
          </w:p>
        </w:tc>
      </w:tr>
      <w:tr>
        <w:tc>
          <w:tcPr>
            <w:tcW w:type="dxa" w:w="34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New Engagement Campaign</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54</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$109.11</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$2.02</w:t>
            </w:r>
          </w:p>
        </w:tc>
      </w:tr>
      <w:tr>
        <w:tc>
          <w:tcPr>
            <w:tcW w:type="dxa" w:w="34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Deluxe Ad</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$17.75</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$2.22</w:t>
            </w:r>
          </w:p>
        </w:tc>
      </w:tr>
      <w:tr>
        <w:tc>
          <w:tcPr>
            <w:tcW w:type="dxa" w:w="34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Post: “Real results, real feedback”</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26</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$67.42</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$2.59</w:t>
            </w:r>
          </w:p>
        </w:tc>
      </w:tr>
      <w:tr>
        <w:tc>
          <w:tcPr>
            <w:tcW w:type="dxa" w:w="3400"/>
            <w:tcMar>
              <w:top w:type="dxa" w:w="60"/>
              <w:left w:type="dxa" w:w="100"/>
              <w:bottom w:type="dxa" w:w="60"/>
              <w:right w:type="dxa" w:w="100"/>
            </w:tcMar>
          </w:tcPr>
          <w:p>
            <w:pPr>
              <w:jc w:val="left"/>
            </w:pPr>
            <w:r>
              <w:rPr>
                <w:rFonts w:ascii="Arial" w:cs="Arial" w:eastAsia="Arial" w:hAnsi="Arial"/>
                <w:b w:val="false"/>
                <w:bCs w:val="false"/>
                <w:color w:val="000000"/>
                <w:sz w:val="19"/>
                <w:szCs w:val="19"/>
              </w:rPr>
              <w:t xml:space="preserve">Post: “Don't ignore your drains...”</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8</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$24.53</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$3.07</w:t>
            </w:r>
          </w:p>
        </w:tc>
      </w:tr>
    </w:tbl>
    <w:p>
      <w:pPr>
        <w:spacing w:after="240" w:before="60"/>
      </w:pPr>
      <w:r>
        <w:rPr>
          <w:rFonts w:ascii="Arial" w:cs="Arial" w:eastAsia="Arial" w:hAnsi="Arial"/>
          <w:i/>
          <w:iCs/>
          <w:color w:val="666666"/>
          <w:sz w:val="18"/>
          <w:szCs w:val="18"/>
        </w:rPr>
        <w:t xml:space="preserve">“Think that pet hair...” has the best rate but a tiny sample (6 messages) — worth retesting at real budget before trusting it. August Camp and New Engagement Campaign are the most reliable performers given real volume (35 and 54 messages respectively).</w:t>
      </w:r>
    </w:p>
    <w:p>
      <w:pPr>
        <w:pStyle w:val="Heading1"/>
        <w:spacing w:after="160" w:before="320"/>
      </w:pPr>
      <w:r>
        <w:t xml:space="preserve">3. Key Finding: Demographics, Not Creative Alone, Explain the Real Gap</w:t>
      </w:r>
    </w:p>
    <w:p>
      <w:pPr>
        <w:spacing w:after="160" w:line="276"/>
      </w:pPr>
      <w:r>
        <w:rPr>
          <w:rFonts w:ascii="Arial" w:cs="Arial" w:eastAsia="Arial" w:hAnsi="Arial"/>
          <w:sz w:val="22"/>
          <w:szCs w:val="22"/>
        </w:rPr>
        <w:t xml:space="preserve">Breaking the same messaging data down by age and gender reveals a clear, actionable pattern that the original report missed entirely: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800"/>
        <w:gridCol w:w="1800"/>
      </w:tblGrid>
      <w:tr>
        <w:trPr>
          <w:tblHeader/>
        </w:trPr>
        <w:tc>
          <w:tcPr>
            <w:tcW w:type="dxa" w:w="1600"/>
            <w:shd w:fill="1F4E78"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Age</w:t>
            </w:r>
          </w:p>
        </w:tc>
        <w:tc>
          <w:tcPr>
            <w:tcW w:type="dxa" w:w="1600"/>
            <w:shd w:fill="1F4E78"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Gender</w:t>
            </w:r>
          </w:p>
        </w:tc>
        <w:tc>
          <w:tcPr>
            <w:tcW w:type="dxa" w:w="1600"/>
            <w:shd w:fill="1F4E78"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Messages</w:t>
            </w:r>
          </w:p>
        </w:tc>
        <w:tc>
          <w:tcPr>
            <w:tcW w:type="dxa" w:w="1800"/>
            <w:shd w:fill="1F4E78"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Spend</w:t>
            </w:r>
          </w:p>
        </w:tc>
        <w:tc>
          <w:tcPr>
            <w:tcW w:type="dxa" w:w="1800"/>
            <w:shd w:fill="1F4E78"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Cost/Message</w:t>
            </w:r>
          </w:p>
        </w:tc>
      </w:tr>
      <w:tr>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55-64</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Female</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14</w:t>
            </w:r>
          </w:p>
        </w:tc>
        <w:tc>
          <w:tcPr>
            <w:tcW w:type="dxa" w:w="18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$13.83</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$0.99</w:t>
            </w:r>
          </w:p>
        </w:tc>
      </w:tr>
      <w:tr>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45-54</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Female</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18</w:t>
            </w:r>
          </w:p>
        </w:tc>
        <w:tc>
          <w:tcPr>
            <w:tcW w:type="dxa" w:w="18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$24.95</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$1.39</w:t>
            </w:r>
          </w:p>
        </w:tc>
      </w:tr>
      <w:tr>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65+</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Female</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25</w:t>
            </w:r>
          </w:p>
        </w:tc>
        <w:tc>
          <w:tcPr>
            <w:tcW w:type="dxa" w:w="18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$38.48</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$1.54</w:t>
            </w:r>
          </w:p>
        </w:tc>
      </w:tr>
      <w:tr>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65+</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Male</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22</w:t>
            </w:r>
          </w:p>
        </w:tc>
        <w:tc>
          <w:tcPr>
            <w:tcW w:type="dxa" w:w="18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$36.93</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$1.68</w:t>
            </w:r>
          </w:p>
        </w:tc>
      </w:tr>
      <w:tr>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55-64</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Male</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14</w:t>
            </w:r>
          </w:p>
        </w:tc>
        <w:tc>
          <w:tcPr>
            <w:tcW w:type="dxa" w:w="18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$25.65</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$1.83</w:t>
            </w:r>
          </w:p>
        </w:tc>
      </w:tr>
      <w:tr>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35-44</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Female</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15</w:t>
            </w:r>
          </w:p>
        </w:tc>
        <w:tc>
          <w:tcPr>
            <w:tcW w:type="dxa" w:w="18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$30.98</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$2.07</w:t>
            </w:r>
          </w:p>
        </w:tc>
      </w:tr>
      <w:tr>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25-34</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Male</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w:t>
            </w:r>
          </w:p>
        </w:tc>
        <w:tc>
          <w:tcPr>
            <w:tcW w:type="dxa" w:w="18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$11.60</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$2.32</w:t>
            </w:r>
          </w:p>
        </w:tc>
      </w:tr>
      <w:tr>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35-44</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Male</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28</w:t>
            </w:r>
          </w:p>
        </w:tc>
        <w:tc>
          <w:tcPr>
            <w:tcW w:type="dxa" w:w="18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$75.47</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$2.70</w:t>
            </w:r>
          </w:p>
        </w:tc>
      </w:tr>
      <w:tr>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45-54</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Male</w:t>
            </w:r>
          </w:p>
        </w:tc>
        <w:tc>
          <w:tcPr>
            <w:tcW w:type="dxa" w:w="16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17</w:t>
            </w:r>
          </w:p>
        </w:tc>
        <w:tc>
          <w:tcPr>
            <w:tcW w:type="dxa" w:w="1800"/>
            <w:tcMar>
              <w:top w:type="dxa" w:w="60"/>
              <w:left w:type="dxa" w:w="100"/>
              <w:bottom w:type="dxa" w:w="60"/>
              <w:right w:type="dxa" w:w="100"/>
            </w:tcMar>
          </w:tcPr>
          <w:p>
            <w:pPr>
              <w:jc w:val="center"/>
            </w:pPr>
            <w:r>
              <w:rPr>
                <w:rFonts w:ascii="Arial" w:cs="Arial" w:eastAsia="Arial" w:hAnsi="Arial"/>
                <w:b w:val="false"/>
                <w:bCs w:val="false"/>
                <w:color w:val="000000"/>
                <w:sz w:val="19"/>
                <w:szCs w:val="19"/>
              </w:rPr>
              <w:t xml:space="preserve">$53.15</w:t>
            </w:r>
          </w:p>
        </w:tc>
        <w:tc>
          <w:tcPr>
            <w:tcW w:type="dxa" w:w="1800"/>
            <w:tcMar>
              <w:top w:type="dxa" w:w="60"/>
              <w:left w:type="dxa" w:w="100"/>
              <w:bottom w:type="dxa" w:w="60"/>
              <w:right w:type="dxa" w:w="100"/>
            </w:tcMar>
          </w:tcPr>
          <w:p>
            <w:pPr>
              <w:jc w:val="center"/>
            </w:pPr>
            <w:r>
              <w:rPr>
                <w:rFonts w:ascii="Arial" w:cs="Arial" w:eastAsia="Arial" w:hAnsi="Arial"/>
                <w:b/>
                <w:bCs/>
                <w:color w:val="000000"/>
                <w:sz w:val="19"/>
                <w:szCs w:val="19"/>
              </w:rPr>
              <w:t xml:space="preserve">$3.13</w:t>
            </w:r>
          </w:p>
        </w:tc>
      </w:tr>
    </w:tbl>
    <w:p>
      <w:pPr>
        <w:spacing w:after="240" w:before="60"/>
      </w:pPr>
      <w:r>
        <w:rPr>
          <w:rFonts w:ascii="Arial" w:cs="Arial" w:eastAsia="Arial" w:hAnsi="Arial"/>
          <w:i/>
          <w:iCs/>
          <w:color w:val="666666"/>
          <w:sz w:val="18"/>
          <w:szCs w:val="18"/>
        </w:rPr>
        <w:t xml:space="preserve">Female audiences cost $1.50/message on average vs. $2.36 for male. Ages 55+ consistently outperform every bracket under 45. The single worst real segment (45-54 male, $3.13/message) costs over 3x the best (55-64 female, $0.99/message).</w:t>
      </w:r>
    </w:p>
    <w:p>
      <w:pPr>
        <w:spacing w:after="160" w:line="276"/>
      </w:pPr>
      <w:r>
        <w:rPr>
          <w:rFonts w:ascii="Arial" w:cs="Arial" w:eastAsia="Arial" w:hAnsi="Arial"/>
          <w:sz w:val="22"/>
          <w:szCs w:val="22"/>
        </w:rPr>
        <w:t xml:space="preserve">This runs counter to the intuitive assumption for a car service audience, but it is grounded in 159 real conversations, not a couple of contaminated data points.</w:t>
      </w:r>
    </w:p>
    <w:p>
      <w:pPr>
        <w:pStyle w:val="Heading1"/>
        <w:spacing w:after="160" w:before="320"/>
      </w:pPr>
      <w:r>
        <w:t xml:space="preserve">4. Frequency: An Account-Wide Symptom</w:t>
      </w:r>
    </w:p>
    <w:p>
      <w:pPr>
        <w:spacing w:after="160" w:line="276"/>
      </w:pPr>
      <w:r>
        <w:rPr>
          <w:rFonts w:ascii="Arial" w:cs="Arial" w:eastAsia="Arial" w:hAnsi="Arial"/>
          <w:sz w:val="22"/>
          <w:szCs w:val="22"/>
        </w:rPr>
        <w:t xml:space="preserve">The original campaign export included a Frequency field (impressions ÷ reach). Nearly every campaign in the account sat below 1.5, with most between 1.0 and 1.3 — only August Camp reached 1.54. Current Meta guidance considers 1–3 healthy for a consideration/messages campaign; under 1.5 risks people forgetting the ad before acting. This isn't what separated winners from losers in this account (both good and weak campaigns had low frequency), but it flags that audiences were likely too broad and/or campaigns didn't run long enough for repeat exposure to build.</w:t>
      </w:r>
    </w:p>
    <w:p>
      <w:pPr>
        <w:pStyle w:val="Heading1"/>
        <w:spacing w:after="160" w:before="320"/>
      </w:pPr>
      <w:r>
        <w:t xml:space="preserve">5. Meta Ads Best Practices (2026)</w:t>
      </w:r>
    </w:p>
    <w:p>
      <w:pPr>
        <w:pStyle w:val="ListParagraph"/>
        <w:numPr>
          <w:ilvl w:val="0"/>
          <w:numId w:val="2"/>
        </w:numPr>
        <w:spacing w:after="100"/>
      </w:pPr>
      <w:r>
        <w:rPr>
          <w:rFonts w:ascii="Arial" w:cs="Arial" w:eastAsia="Arial" w:hAnsi="Arial"/>
          <w:sz w:val="22"/>
          <w:szCs w:val="22"/>
        </w:rPr>
        <w:t xml:space="preserve">Ad sets need roughly 50 optimization events within a 7-day window to exit the learning phase; editing budget, audience, or creative before that resets the clock.</w:t>
      </w:r>
    </w:p>
    <w:p>
      <w:pPr>
        <w:pStyle w:val="ListParagraph"/>
        <w:numPr>
          <w:ilvl w:val="0"/>
          <w:numId w:val="2"/>
        </w:numPr>
        <w:spacing w:after="100"/>
      </w:pPr>
      <w:r>
        <w:rPr>
          <w:rFonts w:ascii="Arial" w:cs="Arial" w:eastAsia="Arial" w:hAnsi="Arial"/>
          <w:sz w:val="22"/>
          <w:szCs w:val="22"/>
        </w:rPr>
        <w:t xml:space="preserve">Minimum effective daily budget for a local service business is roughly $20–30/day — below that, the algorithm doesn't get enough signal to optimize.</w:t>
      </w:r>
    </w:p>
    <w:p>
      <w:pPr>
        <w:pStyle w:val="ListParagraph"/>
        <w:numPr>
          <w:ilvl w:val="0"/>
          <w:numId w:val="2"/>
        </w:numPr>
        <w:spacing w:after="100"/>
      </w:pPr>
      <w:r>
        <w:rPr>
          <w:rFonts w:ascii="Arial" w:cs="Arial" w:eastAsia="Arial" w:hAnsi="Arial"/>
          <w:sz w:val="22"/>
          <w:szCs w:val="22"/>
        </w:rPr>
        <w:t xml:space="preserve">Healthy frequency range is roughly 1–3 for prospecting; beyond 3 typically brings a 10–25% CPA increase from ad fatigue.</w:t>
      </w:r>
    </w:p>
    <w:p>
      <w:pPr>
        <w:pStyle w:val="ListParagraph"/>
        <w:numPr>
          <w:ilvl w:val="0"/>
          <w:numId w:val="2"/>
        </w:numPr>
        <w:spacing w:after="100"/>
      </w:pPr>
      <w:r>
        <w:rPr>
          <w:rFonts w:ascii="Arial" w:cs="Arial" w:eastAsia="Arial" w:hAnsi="Arial"/>
          <w:sz w:val="22"/>
          <w:szCs w:val="22"/>
        </w:rPr>
        <w:t xml:space="preserve">Vertical 9:16 video with burned-in captions outperforms static images and un-captioned video — most viewers watch muted.</w:t>
      </w:r>
    </w:p>
    <w:p>
      <w:pPr>
        <w:pStyle w:val="ListParagraph"/>
        <w:numPr>
          <w:ilvl w:val="0"/>
          <w:numId w:val="2"/>
        </w:numPr>
        <w:spacing w:after="100"/>
      </w:pPr>
      <w:r>
        <w:rPr>
          <w:rFonts w:ascii="Arial" w:cs="Arial" w:eastAsia="Arial" w:hAnsi="Arial"/>
          <w:sz w:val="22"/>
          <w:szCs w:val="22"/>
        </w:rPr>
        <w:t xml:space="preserve">Don't judge or edit a campaign before it reaches roughly 20–50 results.</w:t>
      </w:r>
    </w:p>
    <w:p>
      <w:pPr>
        <w:pStyle w:val="Heading1"/>
        <w:spacing w:after="160" w:before="320"/>
      </w:pPr>
      <w:r>
        <w:t xml:space="preserve">6. Industry Pattern for Detailing Businesses</w:t>
      </w:r>
    </w:p>
    <w:p>
      <w:pPr>
        <w:spacing w:after="160" w:line="276"/>
      </w:pPr>
      <w:r>
        <w:rPr>
          <w:rFonts w:ascii="Arial" w:cs="Arial" w:eastAsia="Arial" w:hAnsi="Arial"/>
          <w:sz w:val="22"/>
          <w:szCs w:val="22"/>
        </w:rPr>
        <w:t xml:space="preserve">Auto detailing/ceramic-coating marketing guides from 2026 consistently recommend Lead Form ads over Messages campaigns (form opens in-app, pre-filled contact info, typically $15–35 cost-per-lead) because they remove friction to convert. This account's own data does not support that switch: the one real Lead-objective test (“big camp,” $51.05 for a single self-submitted test lead) was the single worst-performing campaign in the account. If Lead Forms are tested going forward, it should be run as a real side-by-side experiment against Messages — not a wholesale replacement based on outside benchmarks alone.</w:t>
      </w:r>
    </w:p>
    <w:p>
      <w:pPr>
        <w:spacing w:after="160" w:line="276"/>
      </w:pPr>
      <w:r>
        <w:rPr>
          <w:rFonts w:ascii="Arial" w:cs="Arial" w:eastAsia="Arial" w:hAnsi="Arial"/>
          <w:sz w:val="22"/>
          <w:szCs w:val="22"/>
        </w:rPr>
        <w:t xml:space="preserve">Consistent industry guidance regardless of format: keep geographic radius to 10–15 miles around the service area (wider wastes spend on people who won't book), lead with a specific dollar-amount offer rather than a vague CTA, and use short (15–30s) transformation video as the primary creative format.</w:t>
      </w:r>
    </w:p>
    <w:p>
      <w:pPr>
        <w:pStyle w:val="Heading1"/>
        <w:spacing w:after="160" w:before="320"/>
      </w:pPr>
      <w:r>
        <w:t xml:space="preserve">7. Recommendations for the Next Campaign</w:t>
      </w:r>
    </w:p>
    <w:p>
      <w:pPr>
        <w:pStyle w:val="ListParagraph"/>
        <w:numPr>
          <w:ilvl w:val="0"/>
          <w:numId w:val="2"/>
        </w:numPr>
        <w:spacing w:after="100"/>
      </w:pPr>
      <w:r>
        <w:rPr>
          <w:rFonts w:ascii="Arial" w:cs="Arial" w:eastAsia="Arial" w:hAnsi="Arial"/>
          <w:sz w:val="22"/>
          <w:szCs w:val="22"/>
        </w:rPr>
        <w:t xml:space="preserve">Target women 45+ first, and 55-64 specifically — the cheapest, most responsive segment in the account's own history, not a generic broad audience.</w:t>
      </w:r>
    </w:p>
    <w:p>
      <w:pPr>
        <w:pStyle w:val="ListParagraph"/>
        <w:numPr>
          <w:ilvl w:val="0"/>
          <w:numId w:val="2"/>
        </w:numPr>
        <w:spacing w:after="100"/>
      </w:pPr>
      <w:r>
        <w:rPr>
          <w:rFonts w:ascii="Arial" w:cs="Arial" w:eastAsia="Arial" w:hAnsi="Arial"/>
          <w:sz w:val="22"/>
          <w:szCs w:val="22"/>
        </w:rPr>
        <w:t xml:space="preserve">Keep radius to 10–15 miles from the service area.</w:t>
      </w:r>
    </w:p>
    <w:p>
      <w:pPr>
        <w:pStyle w:val="ListParagraph"/>
        <w:numPr>
          <w:ilvl w:val="0"/>
          <w:numId w:val="2"/>
        </w:numPr>
        <w:spacing w:after="100"/>
      </w:pPr>
      <w:r>
        <w:rPr>
          <w:rFonts w:ascii="Arial" w:cs="Arial" w:eastAsia="Arial" w:hAnsi="Arial"/>
          <w:sz w:val="22"/>
          <w:szCs w:val="22"/>
        </w:rPr>
        <w:t xml:space="preserve">Run at least $20–30/day — several past campaigns spent too little per day to ever exit learning phase.</w:t>
      </w:r>
    </w:p>
    <w:p>
      <w:pPr>
        <w:pStyle w:val="ListParagraph"/>
        <w:numPr>
          <w:ilvl w:val="0"/>
          <w:numId w:val="2"/>
        </w:numPr>
        <w:spacing w:after="100"/>
      </w:pPr>
      <w:r>
        <w:rPr>
          <w:rFonts w:ascii="Arial" w:cs="Arial" w:eastAsia="Arial" w:hAnsi="Arial"/>
          <w:sz w:val="22"/>
          <w:szCs w:val="22"/>
        </w:rPr>
        <w:t xml:space="preserve">Use one vertical video with burned-in captions, a specific dollar-amount offer in the copy, and a direct CTA.</w:t>
      </w:r>
    </w:p>
    <w:p>
      <w:pPr>
        <w:pStyle w:val="ListParagraph"/>
        <w:numPr>
          <w:ilvl w:val="0"/>
          <w:numId w:val="2"/>
        </w:numPr>
        <w:spacing w:after="100"/>
      </w:pPr>
      <w:r>
        <w:rPr>
          <w:rFonts w:ascii="Arial" w:cs="Arial" w:eastAsia="Arial" w:hAnsi="Arial"/>
          <w:sz w:val="22"/>
          <w:szCs w:val="22"/>
        </w:rPr>
        <w:t xml:space="preserve">Do not touch the campaign for the first 3–4 days or until it reaches 20–50 messages, whichever is longer.</w:t>
      </w:r>
    </w:p>
    <w:p>
      <w:pPr>
        <w:pStyle w:val="ListParagraph"/>
        <w:numPr>
          <w:ilvl w:val="0"/>
          <w:numId w:val="2"/>
        </w:numPr>
        <w:spacing w:after="100"/>
      </w:pPr>
      <w:r>
        <w:rPr>
          <w:rFonts w:ascii="Arial" w:cs="Arial" w:eastAsia="Arial" w:hAnsi="Arial"/>
          <w:sz w:val="22"/>
          <w:szCs w:val="22"/>
        </w:rPr>
        <w:t xml:space="preserve">Log daily spend/messages in the companion Messages-to-Bookings tracker so this campaign's real numbers replace these estimates once it's live.</w:t>
      </w:r>
    </w:p>
    <w:p>
      <w:pPr>
        <w:pStyle w:val="Heading1"/>
        <w:spacing w:after="160" w:before="320"/>
      </w:pPr>
      <w:r>
        <w:t xml:space="preserve">8. Limitations</w:t>
      </w:r>
    </w:p>
    <w:p>
      <w:pPr>
        <w:pStyle w:val="ListParagraph"/>
        <w:numPr>
          <w:ilvl w:val="0"/>
          <w:numId w:val="2"/>
        </w:numPr>
        <w:spacing w:after="100"/>
      </w:pPr>
      <w:r>
        <w:rPr>
          <w:rFonts w:ascii="Arial" w:cs="Arial" w:eastAsia="Arial" w:hAnsi="Arial"/>
          <w:sz w:val="22"/>
          <w:szCs w:val="22"/>
        </w:rPr>
        <w:t xml:space="preserve">The demographic breakdown (Section 3) has modest sample sizes in several cells (as low as 1 message) — directional, not statistically certain.</w:t>
      </w:r>
    </w:p>
    <w:p>
      <w:pPr>
        <w:pStyle w:val="ListParagraph"/>
        <w:numPr>
          <w:ilvl w:val="0"/>
          <w:numId w:val="2"/>
        </w:numPr>
        <w:spacing w:after="100"/>
      </w:pPr>
      <w:r>
        <w:rPr>
          <w:rFonts w:ascii="Arial" w:cs="Arial" w:eastAsia="Arial" w:hAnsi="Arial"/>
          <w:sz w:val="22"/>
          <w:szCs w:val="22"/>
        </w:rPr>
        <w:t xml:space="preserve">Correlation between demographic segment and cost is not proof of causation — other factors (which ad/creative ran during which period) are entangled with age/gender in this export.</w:t>
      </w:r>
    </w:p>
    <w:p>
      <w:pPr>
        <w:pStyle w:val="ListParagraph"/>
        <w:numPr>
          <w:ilvl w:val="0"/>
          <w:numId w:val="2"/>
        </w:numPr>
        <w:spacing w:after="100"/>
      </w:pPr>
      <w:r>
        <w:rPr>
          <w:rFonts w:ascii="Arial" w:cs="Arial" w:eastAsia="Arial" w:hAnsi="Arial"/>
          <w:sz w:val="22"/>
          <w:szCs w:val="22"/>
        </w:rPr>
        <w:t xml:space="preserve">Frequency data (Section 4) comes from a separate export than the messaging data (Sections 2–3) and could not be joined at the row level — treated as an account-level signal only.</w:t>
      </w:r>
    </w:p>
    <w:p>
      <w:pPr>
        <w:pStyle w:val="ListParagraph"/>
        <w:numPr>
          <w:ilvl w:val="0"/>
          <w:numId w:val="2"/>
        </w:numPr>
        <w:spacing w:after="100"/>
      </w:pPr>
      <w:r>
        <w:rPr>
          <w:rFonts w:ascii="Arial" w:cs="Arial" w:eastAsia="Arial" w:hAnsi="Arial"/>
          <w:sz w:val="22"/>
          <w:szCs w:val="22"/>
        </w:rPr>
        <w:t xml:space="preserve">Industry benchmarks (Sections 5–6) are third-party figures for the broader detailing/local-service market, not specific to Inland Auto Detailing or Southern California.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2026-08-20T07:39:03.351Z</dcterms:created>
  <dcterms:modified xsi:type="dcterms:W3CDTF">2026-08-20T07:39:03.351Z</dcterms:modified>
</cp:coreProperties>
</file>

<file path=docProps/custom.xml><?xml version="1.0" encoding="utf-8"?>
<Properties xmlns="http://schemas.openxmlformats.org/officeDocument/2006/custom-properties" xmlns:vt="http://schemas.openxmlformats.org/officeDocument/2006/docPropsVTypes"/>
</file>