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ptos" w:hAnsi="Aptos" w:eastAsia="Microsoft YaHei"/>
          <w:b/>
          <w:color w:val="111827"/>
          <w:sz w:val="38"/>
        </w:rPr>
        <w:t>李天译  Casper Li</w:t>
      </w:r>
    </w:p>
    <w:p>
      <w:pPr>
        <w:spacing w:before="0" w:after="40" w:line="240" w:lineRule="auto"/>
        <w:jc w:val="center"/>
      </w:pPr>
      <w:r>
        <w:rPr>
          <w:rFonts w:ascii="Aptos" w:hAnsi="Aptos" w:eastAsia="Microsoft YaHei"/>
          <w:b/>
          <w:color w:val="374151"/>
          <w:sz w:val="20"/>
        </w:rPr>
        <w:t>海外增长运营 | 数字营销 | 短剧整合营销</w:t>
      </w:r>
    </w:p>
    <w:p>
      <w:pPr>
        <w:spacing w:before="0" w:after="80" w:line="240" w:lineRule="auto"/>
        <w:jc w:val="center"/>
      </w:pPr>
      <w:r>
        <w:rPr>
          <w:rFonts w:ascii="Aptos" w:hAnsi="Aptos" w:eastAsia="Microsoft YaHei"/>
          <w:b w:val="0"/>
          <w:color w:val="444444"/>
          <w:sz w:val="18"/>
        </w:rPr>
        <w:t>邮箱：lierhu0716@gmail.com  |  手机：待补充  |  微信：待补充  |  所在地：印尼</w:t>
      </w:r>
    </w:p>
    <w:p>
      <w:pPr>
        <w:spacing w:before="100" w:after="60" w:line="240" w:lineRule="auto"/>
        <w:pBdr>
          <w:bottom w:val="single" w:sz="6" w:space="2" w:color="B8BDC7"/>
        </w:pBdr>
      </w:pPr>
      <w:r>
        <w:rPr>
          <w:rFonts w:ascii="Aptos" w:hAnsi="Aptos" w:eastAsia="Microsoft YaHei"/>
          <w:b/>
          <w:color w:val="1F2937"/>
          <w:sz w:val="22"/>
        </w:rPr>
        <w:t>个人概述</w:t>
      </w:r>
    </w:p>
    <w:p>
      <w:pPr>
        <w:spacing w:before="0" w:after="40" w:line="254" w:lineRule="auto"/>
      </w:pPr>
      <w:r>
        <w:rPr>
          <w:rFonts w:ascii="Aptos" w:hAnsi="Aptos" w:eastAsia="Microsoft YaHei"/>
          <w:b w:val="0"/>
          <w:color w:val="222222"/>
          <w:sz w:val="18"/>
        </w:rPr>
        <w:t>具备海外短剧 App、内容增长与数字营销实战经验，当前聚焦东南亚市场。熟悉社媒买量、素材测试、内容矩阵、KOL/UGC 联动、社群反馈收集与转化漏斗分析，能够围绕曝光、获客、付费转化和运营效率推动增长动作落地。</w:t>
      </w:r>
    </w:p>
    <w:p>
      <w:pPr>
        <w:spacing w:before="100" w:after="60" w:line="240" w:lineRule="auto"/>
        <w:pBdr>
          <w:bottom w:val="single" w:sz="6" w:space="2" w:color="B8BDC7"/>
        </w:pBdr>
      </w:pPr>
      <w:r>
        <w:rPr>
          <w:rFonts w:ascii="Aptos" w:hAnsi="Aptos" w:eastAsia="Microsoft YaHei"/>
          <w:b/>
          <w:color w:val="1F2937"/>
          <w:sz w:val="22"/>
        </w:rPr>
        <w:t>核心能力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space="0" w:color="B8BDC7"/>
          <w:left w:val="nil" w:sz="4" w:space="0" w:color="B8BDC7"/>
          <w:bottom w:val="nil" w:sz="4" w:space="0" w:color="B8BDC7"/>
          <w:right w:val="nil" w:sz="4" w:space="0" w:color="B8BDC7"/>
          <w:insideH w:val="nil" w:sz="4" w:space="0" w:color="B8BDC7"/>
          <w:insideV w:val="nil" w:sz="4" w:space="0" w:color="B8BDC7"/>
        </w:tblBorders>
      </w:tblPr>
      <w:tblGrid>
        <w:gridCol w:w="3402"/>
        <w:gridCol w:w="3402"/>
        <w:gridCol w:w="3402"/>
      </w:tblGrid>
      <w:t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2F7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1F2937"/>
                <w:sz w:val="18"/>
              </w:rPr>
              <w:t>增长与投放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2F7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1F2937"/>
                <w:sz w:val="18"/>
              </w:rPr>
              <w:t>内容与传播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EF2F7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Microsoft YaHei"/>
                <w:b/>
                <w:color w:val="1F2937"/>
                <w:sz w:val="18"/>
              </w:rPr>
              <w:t>数据与协作</w:t>
            </w:r>
          </w:p>
        </w:tc>
      </w:tr>
      <w:tr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Microsoft YaHei"/>
                <w:b w:val="0"/>
                <w:color w:val="30343B"/>
                <w:sz w:val="17"/>
              </w:rPr>
              <w:t>Meta 等渠道投放</w:t>
              <w:br/>
              <w:t>预算管理</w:t>
              <w:br/>
              <w:t>素材与转化测试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Microsoft YaHei"/>
                <w:b w:val="0"/>
                <w:color w:val="30343B"/>
                <w:sz w:val="17"/>
              </w:rPr>
              <w:t>短剧整合营销</w:t>
              <w:br/>
              <w:t>KOL / UGC / 社群</w:t>
              <w:br/>
              <w:t>本地化内容运营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ptos" w:hAnsi="Aptos" w:eastAsia="Microsoft YaHei"/>
                <w:b w:val="0"/>
                <w:color w:val="30343B"/>
                <w:sz w:val="17"/>
              </w:rPr>
              <w:t>漏斗分析</w:t>
              <w:br/>
              <w:t>用户反馈提炼</w:t>
              <w:br/>
              <w:t>AI 工作流提效</w:t>
            </w:r>
          </w:p>
        </w:tc>
      </w:tr>
    </w:tbl>
    <w:p>
      <w:pPr>
        <w:spacing w:before="100" w:after="60" w:line="240" w:lineRule="auto"/>
        <w:pBdr>
          <w:bottom w:val="single" w:sz="6" w:space="2" w:color="B8BDC7"/>
        </w:pBdr>
      </w:pPr>
      <w:r>
        <w:rPr>
          <w:rFonts w:ascii="Aptos" w:hAnsi="Aptos" w:eastAsia="Microsoft YaHei"/>
          <w:b/>
          <w:color w:val="1F2937"/>
          <w:sz w:val="22"/>
        </w:rPr>
        <w:t>工作经历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80"/>
        <w:gridCol w:w="1757"/>
      </w:tblGrid>
      <w:tr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222222"/>
                <w:sz w:val="19"/>
              </w:rPr>
              <w:t>PT. Bintang Seni Media | 海外营销推广运营 | DopReel 东南亚短剧 App</w:t>
            </w:r>
          </w:p>
        </w:tc>
        <w:tc>
          <w:tcPr>
            <w:tcW w:type="dxa" w:w="175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555555"/>
                <w:sz w:val="18"/>
              </w:rPr>
              <w:t>2025.07 - 至今</w:t>
            </w:r>
          </w:p>
        </w:tc>
      </w:tr>
    </w:tbl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负责安卓端海外社媒买量投放与预算管理，覆盖核心渠道放量和日常投放优化；单端日消耗稳定 1,000-4,000 美元，产品整体日消耗峰值 10,000 美元。</w:t>
      </w:r>
    </w:p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结合社群反馈、投放数据与营销漏斗分析，推动 V2.1.0 付费墙展示逻辑优化，项目 ROAS 同比提升 45%。</w:t>
      </w:r>
    </w:p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参与短剧上线期整合营销，联动内容矩阵、KOL、社群与 UGC；《三年之约》上线期产出 10 条以上百万曝光内容，社群互动超过 1,000 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80"/>
        <w:gridCol w:w="1757"/>
      </w:tblGrid>
      <w:tr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222222"/>
                <w:sz w:val="19"/>
              </w:rPr>
              <w:t>网易有道 | 小红书获客运营</w:t>
            </w:r>
          </w:p>
        </w:tc>
        <w:tc>
          <w:tcPr>
            <w:tcW w:type="dxa" w:w="175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555555"/>
                <w:sz w:val="18"/>
              </w:rPr>
              <w:t>2024.12 - 2025.05</w:t>
            </w:r>
          </w:p>
        </w:tc>
      </w:tr>
    </w:tbl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管理投放账户并搭建聚光投放计划，优化课程获客留资路径；月精准留资线索 500+，日耗 1W+，LTV 1600，ROI 4。</w:t>
      </w:r>
    </w:p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拆解人群关注点并筛选高潜关键词，引入数字人素材生产 SOP；沉淀关键词 300+，曝光环比增长 60%，视频素材生产效率提升 400%。</w:t>
      </w:r>
    </w:p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针对高点击低留资素材进行对比测试和转化排查，推动获客效率提升 40%，转化率提升 19%。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80"/>
        <w:gridCol w:w="1757"/>
      </w:tblGrid>
      <w:tr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222222"/>
                <w:sz w:val="19"/>
              </w:rPr>
              <w:t>北京好未来教育集团 | TikTok 短视频运营</w:t>
            </w:r>
          </w:p>
        </w:tc>
        <w:tc>
          <w:tcPr>
            <w:tcW w:type="dxa" w:w="175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555555"/>
                <w:sz w:val="18"/>
              </w:rPr>
              <w:t>2024.09 - 2024.12</w:t>
            </w:r>
          </w:p>
        </w:tc>
      </w:tr>
    </w:tbl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负责海外 TikTok 双店铺选题、脚本、日更和复盘，产出爆款成交视频 10+；平均周 GMV 2,000 美元，环比增长 40%，ROI 稳定 12+。</w:t>
      </w:r>
    </w:p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完成短视频脚本、拍摄、包装和多平台分发，单条视频最高曝光 50W+；整合 AIGC 工具进入内容流程，制作效率提升 60%，拍摄成本减少 80%。</w:t>
      </w:r>
    </w:p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诊断独立站引流流失问题并设计短链跳转方案，引流路径缩短 70%，30 天用户转化率提升 25%。</w:t>
      </w:r>
    </w:p>
    <w:p>
      <w:pPr>
        <w:spacing w:before="100" w:after="60" w:line="240" w:lineRule="auto"/>
        <w:pBdr>
          <w:bottom w:val="single" w:sz="6" w:space="2" w:color="B8BDC7"/>
        </w:pBdr>
      </w:pPr>
      <w:r>
        <w:rPr>
          <w:rFonts w:ascii="Aptos" w:hAnsi="Aptos" w:eastAsia="Microsoft YaHei"/>
          <w:b/>
          <w:color w:val="1F2937"/>
          <w:sz w:val="22"/>
        </w:rPr>
        <w:t>代表项目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80"/>
        <w:gridCol w:w="1757"/>
      </w:tblGrid>
      <w:tr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222222"/>
                <w:sz w:val="19"/>
              </w:rPr>
              <w:t>DopReel 付费墙转化优化 | 用户反馈 + 投放数据 + 营销漏斗分析</w:t>
            </w:r>
          </w:p>
        </w:tc>
        <w:tc>
          <w:tcPr>
            <w:tcW w:type="dxa" w:w="175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555555"/>
                <w:sz w:val="18"/>
              </w:rPr>
              <w:t>商业化增长</w:t>
            </w:r>
          </w:p>
        </w:tc>
      </w:tr>
    </w:tbl>
    <w:p>
      <w:pPr>
        <w:pStyle w:val="ListBullet"/>
        <w:spacing w:before="0" w:after="24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从社群反馈与转化数据中定位付费展示问题，向产品优化提供依据并推动版本协作，支撑付费转化效率提升。</w:t>
      </w:r>
    </w:p>
    <w:p>
      <w:pPr>
        <w:spacing w:before="100" w:after="60" w:line="240" w:lineRule="auto"/>
        <w:pBdr>
          <w:bottom w:val="single" w:sz="6" w:space="2" w:color="B8BDC7"/>
        </w:pBdr>
      </w:pPr>
      <w:r>
        <w:rPr>
          <w:rFonts w:ascii="Aptos" w:hAnsi="Aptos" w:eastAsia="Microsoft YaHei"/>
          <w:b/>
          <w:color w:val="1F2937"/>
          <w:sz w:val="22"/>
        </w:rPr>
        <w:t>教育背景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80"/>
        <w:gridCol w:w="1757"/>
      </w:tblGrid>
      <w:tr>
        <w:tc>
          <w:tcPr>
            <w:tcW w:type="dxa" w:w="788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YaHei"/>
                <w:b/>
                <w:color w:val="222222"/>
                <w:sz w:val="19"/>
              </w:rPr>
              <w:t>山西大同大学 | 网络与新媒体 | 本科</w:t>
            </w:r>
          </w:p>
        </w:tc>
        <w:tc>
          <w:tcPr>
            <w:tcW w:type="dxa" w:w="175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ptos" w:hAnsi="Aptos" w:eastAsia="Microsoft YaHei"/>
                <w:b w:val="0"/>
                <w:color w:val="555555"/>
                <w:sz w:val="18"/>
              </w:rPr>
              <w:t>2021.09 - 2025.07</w:t>
            </w:r>
          </w:p>
        </w:tc>
      </w:tr>
    </w:tbl>
    <w:p>
      <w:pPr>
        <w:spacing w:before="100" w:after="60" w:line="240" w:lineRule="auto"/>
        <w:pBdr>
          <w:bottom w:val="single" w:sz="6" w:space="2" w:color="B8BDC7"/>
        </w:pBdr>
      </w:pPr>
      <w:r>
        <w:rPr>
          <w:rFonts w:ascii="Aptos" w:hAnsi="Aptos" w:eastAsia="Microsoft YaHei"/>
          <w:b/>
          <w:color w:val="1F2937"/>
          <w:sz w:val="22"/>
        </w:rPr>
        <w:t>补充信息</w:t>
      </w:r>
    </w:p>
    <w:p>
      <w:pPr>
        <w:spacing w:before="0" w:after="0" w:line="247" w:lineRule="auto"/>
      </w:pPr>
      <w:r>
        <w:rPr>
          <w:rFonts w:ascii="Aptos" w:hAnsi="Aptos" w:eastAsia="Microsoft YaHei"/>
          <w:b w:val="0"/>
          <w:color w:val="222222"/>
          <w:sz w:val="18"/>
        </w:rPr>
        <w:t>语言：中文、英文  |  工具：广告投放平台、内容运营工具、AIGC 工具  |  作品集 / LinkedIn：待补充</w:t>
      </w:r>
    </w:p>
    <w:sectPr w:rsidR="00FC693F" w:rsidRPr="0006063C" w:rsidSect="00034616">
      <w:pgSz w:w="11906" w:h="16838"/>
      <w:pgMar w:top="709" w:right="850" w:bottom="65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Aptos" w:hAnsi="Aptos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7" w:lineRule="auto"/>
      <w:ind w:left="255" w:hanging="102"/>
      <w:contextualSpacing/>
    </w:pPr>
    <w:rPr>
      <w:rFonts w:ascii="Aptos" w:hAnsi="Aptos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