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000000"/>
          <w:sz w:val="36"/>
        </w:rPr>
        <w:t>ANÁLISIS DE RIESGO APLICATIVO (ARA)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No. de Versión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Fecha de cambio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Autor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08/06/2026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ARA inicial del piloto Comisión Variable.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1. 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Piloto SPIN — Comisión Variable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Clasificación de información manejada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Interna (transaccional; sin datos personales sensibles)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Tipo de usuarios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Internos (sistemas POS, service-to-service)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Criticidad del negocio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[PENDIENTE: confirmar — propuesta Media]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2. Activos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Activo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Valor para el negocio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Confidencialidad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Integridad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Disponibilidad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Token OAuth2 de Spin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Credencial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Secretos (BD, Keycloak, Spin, apikey)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Credencial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Token JWT del POS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Credencial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Bitácora de consumo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Datos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 REST de consulta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Servicio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Alta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3. Amenazas identificadas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Amenaza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Activo afectado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Probabilidad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Impacto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Riesgo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Mitigación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Acceso no autenticado al endpoint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 REST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OIDC/Keycloak; </w:t>
            </w:r>
            <w:r>
              <w:rPr>
                <w:rFonts w:ascii="Calibri" w:hAnsi="Calibri"/>
                <w:sz w:val="20"/>
              </w:rPr>
              <w:t>@Authenticated</w:t>
            </w:r>
            <w:r>
              <w:rPr>
                <w:rFonts w:ascii="Calibri" w:hAnsi="Calibri"/>
                <w:sz w:val="20"/>
              </w:rPr>
              <w:t xml:space="preserve"> en </w:t>
            </w:r>
            <w:r>
              <w:rPr>
                <w:rFonts w:ascii="Calibri" w:hAnsi="Calibri"/>
                <w:sz w:val="20"/>
              </w:rPr>
              <w:t>/rest/v1/**</w:t>
            </w:r>
            <w:r>
              <w:rPr>
                <w:rFonts w:ascii="Calibri" w:hAnsi="Calibri"/>
                <w:sz w:val="20"/>
              </w:rPr>
              <w:t>; validación de JWT (seguridad-checklist §Autenticación)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AR-02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Fuga de secretos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Credenciales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Conjur + variables de ambiente; sin secretos en repo/imagen (codigo-java §Secretos)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AR-03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Inyección / payload malicioso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API/BD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Bean Validation allow-list (regex) + tipado fuerte; JPA parametrizado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AR-04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Agotamiento por dependencia (Spin)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Disponibilidad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Circuit breaker, retry+jitter, timeout, rate limit configurables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AR-05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Exposición de datos en logs/errores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Datos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ErrorResponse</w:t>
            </w:r>
            <w:r>
              <w:rPr>
                <w:rFonts w:ascii="Calibri" w:hAnsi="Calibri"/>
                <w:sz w:val="20"/>
              </w:rPr>
              <w:t xml:space="preserve"> sin stack; logs JSON sin secretos; sólo traceId al cliente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AR-06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Abuso / DoS del endpoint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Disponibilidad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Rate limit hacia Spin; (infra) WAF/Gateway + HPA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AR-07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Manipulación de la bitácora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Datos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Credenciales Conjur; mínimo privilegio; particiones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4. Controles existentes</w:t>
      </w:r>
    </w:p>
    <w:p>
      <w:pPr>
        <w:pStyle w:val="ListBullet"/>
      </w:pPr>
      <w:r>
        <w:rPr>
          <w:rFonts w:ascii="Calibri" w:hAnsi="Calibri"/>
          <w:sz w:val="22"/>
        </w:rPr>
        <w:t xml:space="preserve">[x] Autenticación con Keycloak (realm </w:t>
      </w:r>
      <w:r>
        <w:rPr>
          <w:rFonts w:ascii="Calibri" w:hAnsi="Calibri"/>
          <w:sz w:val="22"/>
        </w:rPr>
        <w:t>applications</w:t>
      </w:r>
      <w:r>
        <w:rPr>
          <w:rFonts w:ascii="Calibri" w:hAnsi="Calibri"/>
          <w:sz w:val="22"/>
        </w:rPr>
        <w:t xml:space="preserve">); rutas protegidas con </w:t>
      </w:r>
      <w:r>
        <w:rPr>
          <w:rFonts w:ascii="Calibri" w:hAnsi="Calibri"/>
          <w:sz w:val="22"/>
        </w:rPr>
        <w:t>@Authenticated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[x] Secretos vía Conjur (variables de ambiente); no hardcoded; </w:t>
      </w:r>
      <w:r>
        <w:rPr>
          <w:rFonts w:ascii="Calibri" w:hAnsi="Calibri"/>
          <w:sz w:val="22"/>
        </w:rPr>
        <w:t>.gitignore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[x] Validación de entrada con Bean Validation (</w:t>
      </w:r>
      <w:r>
        <w:rPr>
          <w:rFonts w:ascii="Calibri" w:hAnsi="Calibri"/>
          <w:sz w:val="22"/>
        </w:rPr>
        <w:t>@Pattern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2"/>
        </w:rPr>
        <w:t>@Size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2"/>
        </w:rPr>
        <w:t>@NotBlank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[x] Manejo centralizado de errores (</w:t>
      </w:r>
      <w:r>
        <w:rPr>
          <w:rFonts w:ascii="Calibri" w:hAnsi="Calibri"/>
          <w:sz w:val="22"/>
        </w:rPr>
        <w:t>ExceptionMappers</w:t>
      </w:r>
      <w:r>
        <w:rPr>
          <w:rFonts w:ascii="Calibri" w:hAnsi="Calibri"/>
          <w:sz w:val="22"/>
        </w:rPr>
        <w:t>) sin filtrar detalles internos.</w:t>
      </w:r>
    </w:p>
    <w:p>
      <w:pPr>
        <w:pStyle w:val="ListBullet"/>
      </w:pPr>
      <w:r>
        <w:rPr>
          <w:rFonts w:ascii="Calibri" w:hAnsi="Calibri"/>
          <w:sz w:val="22"/>
        </w:rPr>
        <w:t>[x] Resiliencia: circuit breaker + retry + timeout + rate limit.</w:t>
      </w:r>
    </w:p>
    <w:p>
      <w:pPr>
        <w:pStyle w:val="ListBullet"/>
      </w:pPr>
      <w:r>
        <w:rPr>
          <w:rFonts w:ascii="Calibri" w:hAnsi="Calibri"/>
          <w:sz w:val="22"/>
        </w:rPr>
        <w:t>[x] Trazabilidad: bitácora + logs JSON con trace_id/correlation_id (Datadog).</w:t>
      </w:r>
    </w:p>
    <w:p>
      <w:pPr>
        <w:pStyle w:val="ListBullet"/>
      </w:pPr>
      <w:r>
        <w:rPr>
          <w:rFonts w:ascii="Calibri" w:hAnsi="Calibri"/>
          <w:sz w:val="22"/>
        </w:rPr>
        <w:t>[x] Contenedor sin privilegios (runAsNonRoot, drop ALL capabilities).</w:t>
      </w:r>
    </w:p>
    <w:p>
      <w:pPr>
        <w:pStyle w:val="ListBullet"/>
      </w:pPr>
      <w:r>
        <w:rPr>
          <w:rFonts w:ascii="Calibri" w:hAnsi="Calibri"/>
          <w:sz w:val="22"/>
        </w:rPr>
        <w:t>[x] Cobertura de pruebas ≥ 90% (JaCoCo).</w:t>
      </w:r>
    </w:p>
    <w:p>
      <w:pPr>
        <w:pStyle w:val="ListBullet"/>
      </w:pPr>
      <w:r>
        <w:rPr>
          <w:rFonts w:ascii="Calibri" w:hAnsi="Calibri"/>
          <w:sz w:val="22"/>
        </w:rPr>
        <w:t>[ ] WAF / API Gateway perimetral (a nivel infra — verificar con CMS).</w:t>
      </w:r>
    </w:p>
    <w:p>
      <w:pPr>
        <w:pStyle w:val="ListBullet"/>
      </w:pPr>
      <w:r>
        <w:rPr>
          <w:rFonts w:ascii="Calibri" w:hAnsi="Calibri"/>
          <w:sz w:val="22"/>
        </w:rPr>
        <w:t>[ ] mTLS interno (a nivel infra).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5. Riesgos residuales aceptados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Riesgo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Nivel residual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Justificación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Bajo-Medio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 resiliencia mitiga; el residual depende del SLA de Spin.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El rate limit aplica al consumo de Spin; la protección perimetral del endpoint queda pendiente de infraestructura.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6. Plan de tratamiento de riesgos altos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Riesgo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Acción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Responsable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Fecha objetivo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Validar configuración de issuer/audience en staging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Acordar SLA y umbrales de circuit breaker con el proveedor Spin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AR-06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Habilitar WAF/rate limit perimetral en OpenShift Route/Gateway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</w:tbl>
    <w:p/>
    <w:p>
      <w:r>
        <w:rPr>
          <w:rFonts w:ascii="Calibri" w:hAnsi="Calibri"/>
          <w:sz w:val="22"/>
        </w:rPr>
        <w:t>&lt;!-- fin --&gt;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1984"/>
          <w:vMerge w:val="restart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07999" cy="42739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emsa_comerci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4273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vMerge w:val="restart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22"/>
            </w:rPr>
            <w:t>Sistema de Trabajo TI</w:t>
            <w:br/>
          </w:r>
          <w:r>
            <w:rPr>
              <w:rFonts w:ascii="Calibri" w:hAnsi="Calibri"/>
              <w:b/>
              <w:sz w:val="26"/>
            </w:rPr>
            <w:t>Análisis de Riesgo Aplicativo</w:t>
          </w:r>
        </w:p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CÓDIGO:</w:t>
            <w:br/>
            <w:t>FCTI_CNF_ARA</w:t>
          </w:r>
        </w:p>
      </w:tc>
    </w:tr>
    <w:tr>
      <w:tc>
        <w:tcPr>
          <w:tcW w:type="dxa" w:w="1984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5669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REVISIÓN 1</w:t>
          </w:r>
        </w:p>
      </w:tc>
    </w:tr>
    <w:tr>
      <w:tc>
        <w:tcPr>
          <w:tcW w:type="dxa" w:w="1984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5669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