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color w:val="000000"/>
          <w:sz w:val="36"/>
        </w:rPr>
        <w:t>ESPECIFICACIÓN TÉCNICA</w:t>
      </w:r>
    </w:p>
    <w:p>
      <w:pPr>
        <w:pStyle w:val="Heading2"/>
      </w:pPr>
      <w:r>
        <w:rPr>
          <w:rFonts w:ascii="Calibri" w:hAnsi="Calibri"/>
          <w:b/>
          <w:color w:val="1F497D"/>
          <w:sz w:val="32"/>
        </w:rPr>
        <w:t>Sistema de Trabajo TI</w:t>
      </w:r>
    </w:p>
    <w:p>
      <w:pPr>
        <w:pStyle w:val="Heading2"/>
      </w:pPr>
      <w:r>
        <w:rPr>
          <w:rFonts w:ascii="Calibri" w:hAnsi="Calibri"/>
          <w:b/>
          <w:color w:val="1F497D"/>
          <w:sz w:val="32"/>
        </w:rPr>
        <w:t>Identificación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Campo</w:t>
            </w:r>
          </w:p>
        </w:tc>
        <w:tc>
          <w:tcPr>
            <w:tcW w:type="dxa" w:w="4703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Proyecto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Piloto SPIN — Comisión Variable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Plataforma / Satélite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Quarkus 3.33 LTS (Java 21) sobre OpenShift ROSA/ARO; imagen UBI10-minimal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Procesos de negocio involucrados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Consulta de comisión variable desde punto de venta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Responsables núcleo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[PENDIENTE: Gerente de Proyecto / Líder TI núcleo]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Líder de Diseño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[PENDIENTE: nombre / correo]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EDA(s) autores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[PENDIENTE]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Arquitecto(s) aplicativo validador(es)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[PENDIENTE]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Líder Técnico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Roberto Castillo &lt;roberto.castillo@oxxo.com&gt;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Desarrollador(es)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[PENDIENTE]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F497D"/>
          <w:sz w:val="32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No. de Versión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Fecha de cambio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Autor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08/06/2026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Roberto Castillo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Versión inicial del piloto: arquitectura hexagonal, integración Spin, bitácora particionada, seguridad Keycloak, observabilidad Datadog, secretos Conjur.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F497D"/>
          <w:sz w:val="32"/>
        </w:rPr>
        <w:t>1. Presentación del Producto</w:t>
      </w:r>
    </w:p>
    <w:p>
      <w:pPr>
        <w:pStyle w:val="Heading3"/>
      </w:pPr>
      <w:r>
        <w:rPr>
          <w:rFonts w:ascii="Calibri" w:hAnsi="Calibri"/>
          <w:b/>
          <w:sz w:val="28"/>
        </w:rPr>
        <w:t>1.1 Objetivo</w:t>
      </w:r>
    </w:p>
    <w:p>
      <w:r>
        <w:rPr>
          <w:rFonts w:ascii="Calibri" w:hAnsi="Calibri"/>
          <w:sz w:val="22"/>
        </w:rPr>
        <w:t>Implementar una arquitectura de referencia para proyectos en la nube basada en microservicios. Se requiere una implementación limpia, segura y confiable para la consulta de comisiones desde servicios OnPremise expuestos en Cloud, evaluando las ventajas de Quarkus frente a otros frameworks.</w:t>
      </w:r>
    </w:p>
    <w:p>
      <w:pPr>
        <w:pStyle w:val="Heading3"/>
      </w:pPr>
      <w:r>
        <w:rPr>
          <w:rFonts w:ascii="Calibri" w:hAnsi="Calibri"/>
          <w:b/>
          <w:sz w:val="28"/>
        </w:rPr>
        <w:t>1.2 Alcance</w:t>
      </w:r>
    </w:p>
    <w:p>
      <w:r>
        <w:rPr>
          <w:rFonts w:ascii="Calibri" w:hAnsi="Calibri"/>
          <w:sz w:val="22"/>
        </w:rPr>
        <w:t>Consultar comisiones variables desde el punto de venta con datos de entrada por plaza, tienda, caja, transacción y producto y/o servicio. Servicio en la nube (AWS ROSA) que expone un endpoint y a su vez consume un API del proveedor Spin, manteniendo la trazabilidad de la consulta. Incluye seguridad con Keycloak (realm de aplicaciones), bitácora en PostgreSQL, integración con Datadog por agente e integración con Conjur por agente.</w:t>
      </w:r>
    </w:p>
    <w:p>
      <w:pPr>
        <w:pStyle w:val="Heading3"/>
      </w:pPr>
      <w:r>
        <w:rPr>
          <w:rFonts w:ascii="Calibri" w:hAnsi="Calibri"/>
          <w:b/>
          <w:sz w:val="28"/>
        </w:rPr>
        <w:t>1.3 Sistemas Involucrados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Sistema</w:t>
            </w:r>
          </w:p>
        </w:tc>
        <w:tc>
          <w:tcPr>
            <w:tcW w:type="dxa" w:w="3135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Rol</w:t>
            </w:r>
          </w:p>
        </w:tc>
        <w:tc>
          <w:tcPr>
            <w:tcW w:type="dxa" w:w="3135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Modo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Punto de Venta (POS)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Consumidor del API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demo / production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Keycloak (realm </w:t>
            </w:r>
            <w:r>
              <w:rPr>
                <w:rFonts w:ascii="Calibri" w:hAnsi="Calibri"/>
                <w:sz w:val="20"/>
              </w:rPr>
              <w:t>applications</w:t>
            </w:r>
            <w:r>
              <w:rPr>
                <w:rFonts w:ascii="Calibri" w:hAnsi="Calibri"/>
                <w:sz w:val="20"/>
              </w:rPr>
              <w:t>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Autenticación service-to-service (OIDC/OAuth2)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demo (local/docker) / production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API Spin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Proveedor del cálculo de comisión (OAuth2 apikey+token)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sandbox (demo) / production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PostgreSQL 18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Bitácora y configuración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demo / production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Redis (opcional)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Cache de token; degradación elegante si no está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demo / production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Datadog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Logs y trazas (por agente)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production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CyberArk Conjur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Gestión de secretos (variables de ambiente)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production</w:t>
            </w:r>
          </w:p>
        </w:tc>
      </w:tr>
    </w:tbl>
    <w:p/>
    <w:p>
      <w:pPr>
        <w:pStyle w:val="Heading3"/>
      </w:pPr>
      <w:r>
        <w:rPr>
          <w:rFonts w:ascii="Calibri" w:hAnsi="Calibri"/>
          <w:b/>
          <w:sz w:val="28"/>
        </w:rPr>
        <w:t>1.4 No Contempla</w:t>
      </w:r>
    </w:p>
    <w:p>
      <w:r>
        <w:rPr>
          <w:rFonts w:ascii="Calibri" w:hAnsi="Calibri"/>
          <w:sz w:val="22"/>
        </w:rPr>
        <w:t>No contempla servicios de front-end.</w:t>
      </w:r>
    </w:p>
    <w:p>
      <w:pPr>
        <w:pStyle w:val="Heading3"/>
      </w:pPr>
      <w:r>
        <w:rPr>
          <w:rFonts w:ascii="Calibri" w:hAnsi="Calibri"/>
          <w:b/>
          <w:sz w:val="28"/>
        </w:rPr>
        <w:t>1.5 Estrategia de despliegue</w:t>
      </w:r>
    </w:p>
    <w:p>
      <w:r>
        <w:rPr>
          <w:rFonts w:ascii="Calibri" w:hAnsi="Calibri"/>
          <w:sz w:val="22"/>
        </w:rPr>
        <w:t xml:space="preserve">Despliegue en OpenShift ROSA/ARO (namespace </w:t>
      </w:r>
      <w:r>
        <w:rPr>
          <w:rFonts w:ascii="Calibri" w:hAnsi="Calibri"/>
          <w:sz w:val="20"/>
        </w:rPr>
        <w:t>spin</w:t>
      </w:r>
      <w:r>
        <w:rPr>
          <w:rFonts w:ascii="Calibri" w:hAnsi="Calibri"/>
          <w:sz w:val="22"/>
        </w:rPr>
        <w:t xml:space="preserve">) vía manifiestos en </w:t>
      </w:r>
      <w:r>
        <w:rPr>
          <w:rFonts w:ascii="Calibri" w:hAnsi="Calibri"/>
          <w:sz w:val="20"/>
        </w:rPr>
        <w:t>deploy/openshift/</w:t>
      </w:r>
      <w:r>
        <w:rPr>
          <w:rFonts w:ascii="Calibri" w:hAnsi="Calibri"/>
          <w:sz w:val="22"/>
        </w:rPr>
        <w:t xml:space="preserve"> (kustomize). Build de imagen nativa (Mandrel) o JVM (UBI10-minimal + Java 21). [PENDIENTE: integración con pipelines CMS / Azure DevOps].</w:t>
      </w:r>
    </w:p>
    <w:p>
      <w:pPr>
        <w:pStyle w:val="Heading3"/>
      </w:pPr>
      <w:r>
        <w:rPr>
          <w:rFonts w:ascii="Calibri" w:hAnsi="Calibri"/>
          <w:b/>
          <w:sz w:val="28"/>
        </w:rPr>
        <w:t>1.6 Información de ejecución del producto</w:t>
      </w:r>
    </w:p>
    <w:p>
      <w:r>
        <w:rPr>
          <w:rFonts w:ascii="Calibri" w:hAnsi="Calibri"/>
          <w:sz w:val="22"/>
        </w:rPr>
        <w:t>Job de mantenimiento de la bitácora particionada: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Parámetro</w:t>
            </w:r>
          </w:p>
        </w:tc>
        <w:tc>
          <w:tcPr>
            <w:tcW w:type="dxa" w:w="4703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Modo de ejecución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Quarkus Scheduler (</w:t>
            </w:r>
            <w:r>
              <w:rPr>
                <w:rFonts w:ascii="Calibri" w:hAnsi="Calibri"/>
                <w:sz w:val="20"/>
              </w:rPr>
              <w:t>@Scheduled</w:t>
            </w:r>
            <w:r>
              <w:rPr>
                <w:rFonts w:ascii="Calibri" w:hAnsi="Calibri"/>
                <w:sz w:val="20"/>
              </w:rPr>
              <w:t>, cron configurable)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Script de ejecución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PartitionMaintenanceJob.ejecutar()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Ventana de tiempo de ejecución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Diaria, </w:t>
            </w:r>
            <w:r>
              <w:rPr>
                <w:rFonts w:ascii="Calibri" w:hAnsi="Calibri"/>
                <w:sz w:val="20"/>
              </w:rPr>
              <w:t>0 30 2 * * ?</w:t>
            </w:r>
            <w:r>
              <w:rPr>
                <w:rFonts w:ascii="Calibri" w:hAnsi="Calibri"/>
                <w:sz w:val="20"/>
              </w:rPr>
              <w:t xml:space="preserve"> (configurable)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Frecuencia de ejecución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Diaria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Dependencias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Acceso a PostgreSQL (funciones </w:t>
            </w:r>
            <w:r>
              <w:rPr>
                <w:rFonts w:ascii="Calibri" w:hAnsi="Calibri"/>
                <w:sz w:val="20"/>
              </w:rPr>
              <w:t>crear_particiones_futuras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sz w:val="20"/>
              </w:rPr>
              <w:t>purgar_particiones_antiguas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Volumen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Según volumen de consultas registradas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Tiempo de ejecución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Segundos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Tipo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No-Crítico (Operación no detenida)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Máximo tiempo fuera de servicio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[PENDIENTE: SLA]</w:t>
            </w:r>
          </w:p>
        </w:tc>
      </w:tr>
    </w:tbl>
    <w:p/>
    <w:p>
      <w:pPr>
        <w:pStyle w:val="Heading3"/>
      </w:pPr>
      <w:r>
        <w:rPr>
          <w:rFonts w:ascii="Calibri" w:hAnsi="Calibri"/>
          <w:b/>
          <w:sz w:val="28"/>
        </w:rPr>
        <w:t>1.7 Definiciones, Acrónimos y Abreviaciones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Abreviación</w:t>
            </w:r>
          </w:p>
        </w:tc>
        <w:tc>
          <w:tcPr>
            <w:tcW w:type="dxa" w:w="4703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POS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Punto de Venta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OIDC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OpenID Connect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CB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Circuit Breaker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MDC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Mapped Diagnostic Context (contexto de logs)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ROSA / ARO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Red Hat OpenShift on AWS / Azure Red Hat OpenShift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Conjur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CyberArk Conjur (gestión de secretos)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F497D"/>
          <w:sz w:val="32"/>
        </w:rPr>
        <w:t>2. Modelo Arquitectura</w:t>
      </w:r>
    </w:p>
    <w:p>
      <w:pPr>
        <w:pStyle w:val="Heading3"/>
      </w:pPr>
      <w:r>
        <w:rPr>
          <w:rFonts w:ascii="Calibri" w:hAnsi="Calibri"/>
          <w:b/>
          <w:sz w:val="28"/>
        </w:rPr>
        <w:t>2.1 Diagrama de Arquitectura</w:t>
      </w:r>
    </w:p>
    <w:p>
      <w:r>
        <w:rPr>
          <w:rFonts w:ascii="Calibri" w:hAnsi="Calibri"/>
          <w:sz w:val="22"/>
        </w:rPr>
        <w:t xml:space="preserve">[PENDIENTE: Figura 01 — diagrama de arquitectura]. Estilo: </w:t>
      </w:r>
      <w:r>
        <w:rPr>
          <w:rFonts w:ascii="Calibri" w:hAnsi="Calibri"/>
          <w:b/>
          <w:sz w:val="22"/>
        </w:rPr>
        <w:t>hexagonal (puertos y adaptadores)</w:t>
      </w:r>
      <w:r>
        <w:rPr>
          <w:rFonts w:ascii="Calibri" w:hAnsi="Calibri"/>
          <w:sz w:val="22"/>
        </w:rPr>
        <w:t xml:space="preserve">. Flujo: </w:t>
      </w:r>
      <w:r>
        <w:rPr>
          <w:rFonts w:ascii="Calibri" w:hAnsi="Calibri"/>
          <w:sz w:val="20"/>
        </w:rPr>
        <w:t>REST → ConsultarComisionUseCase ← Service → ComisionProviderPort / BitacoraPort ← Adaptadores (Spin, PostgreSQL)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rPr>
          <w:rFonts w:ascii="Calibri" w:hAnsi="Calibri"/>
          <w:b/>
          <w:sz w:val="28"/>
        </w:rPr>
        <w:t>2.2 Referencias de Estándares Usados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Nombre de documento</w:t>
            </w:r>
          </w:p>
        </w:tc>
        <w:tc>
          <w:tcPr>
            <w:tcW w:type="dxa" w:w="4703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Ruta del estándar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Estándar de Codificación Segura Java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.claude/standards/codigo-java.md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Checklist de Seguridad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.claude/standards/seguridad-checklist.md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Entregables de Portal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.claude/standards/entregables-portal.md</w:t>
            </w:r>
          </w:p>
        </w:tc>
      </w:tr>
    </w:tbl>
    <w:p/>
    <w:p>
      <w:pPr>
        <w:pStyle w:val="Heading3"/>
      </w:pPr>
      <w:r>
        <w:rPr>
          <w:rFonts w:ascii="Calibri" w:hAnsi="Calibri"/>
          <w:b/>
          <w:sz w:val="28"/>
        </w:rPr>
        <w:t>2.3 Especificaciones de Hardware y Software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Elemento</w:t>
            </w:r>
          </w:p>
        </w:tc>
        <w:tc>
          <w:tcPr>
            <w:tcW w:type="dxa" w:w="4703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Versión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Java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21 LTS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Quarkus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3.33 LTS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Imagen runtime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registry.access.redhat.com/ubi10/ubi-minimal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Base de datos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PostgreSQL 18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Migraciones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Flyway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Orquestación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OpenShift ROSA / ARO</w:t>
            </w:r>
          </w:p>
        </w:tc>
      </w:tr>
    </w:tbl>
    <w:p/>
    <w:p>
      <w:pPr>
        <w:pStyle w:val="Heading3"/>
      </w:pPr>
      <w:r>
        <w:rPr>
          <w:rFonts w:ascii="Calibri" w:hAnsi="Calibri"/>
          <w:b/>
          <w:sz w:val="28"/>
        </w:rPr>
        <w:t>2.4 Seguridad</w:t>
      </w:r>
    </w:p>
    <w:p>
      <w:r>
        <w:rPr>
          <w:rFonts w:ascii="Calibri" w:hAnsi="Calibri"/>
          <w:sz w:val="22"/>
        </w:rPr>
        <w:t xml:space="preserve">Autenticación service-to-service con Keycloak (realm </w:t>
      </w:r>
      <w:r>
        <w:rPr>
          <w:rFonts w:ascii="Calibri" w:hAnsi="Calibri"/>
          <w:sz w:val="20"/>
        </w:rPr>
        <w:t>applications</w:t>
      </w:r>
      <w:r>
        <w:rPr>
          <w:rFonts w:ascii="Calibri" w:hAnsi="Calibri"/>
          <w:sz w:val="22"/>
        </w:rPr>
        <w:t xml:space="preserve">); todas las rutas </w:t>
      </w:r>
      <w:r>
        <w:rPr>
          <w:rFonts w:ascii="Calibri" w:hAnsi="Calibri"/>
          <w:sz w:val="20"/>
        </w:rPr>
        <w:t>/rest/v1/**</w:t>
      </w:r>
      <w:r>
        <w:rPr>
          <w:rFonts w:ascii="Calibri" w:hAnsi="Calibri"/>
          <w:sz w:val="22"/>
        </w:rPr>
        <w:t xml:space="preserve"> exigen Bearer JWT. Secretos inyectados por variable de ambiente desde CyberArk Conjur (no se versionan ni se hornean en la imagen). Validación estricta de entrada (allow-list por regex). Manejo de errores homogéneo sin filtrar detalles internos. Ver ARA y MDA.</w:t>
      </w:r>
    </w:p>
    <w:p>
      <w:pPr>
        <w:pStyle w:val="Heading3"/>
      </w:pPr>
      <w:r>
        <w:rPr>
          <w:rFonts w:ascii="Calibri" w:hAnsi="Calibri"/>
          <w:b/>
          <w:sz w:val="28"/>
        </w:rPr>
        <w:t>2.5 Componentes a reutilizar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Nombre de componente</w:t>
            </w:r>
          </w:p>
        </w:tc>
        <w:tc>
          <w:tcPr>
            <w:tcW w:type="dxa" w:w="4703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Objetivo de reutilizarlo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TraceLoggingFilter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Trazabilidad (trace_id/span_id/correlation_id) correlacionable con Datadog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SpinFallbackHandler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Traducción de fallas técnicas a excepciones de dominio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Funciones SQL de particiones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Mantenimiento de la bitácora (crear/purgar)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F497D"/>
          <w:sz w:val="32"/>
        </w:rPr>
        <w:t>3. Requerimientos</w:t>
      </w:r>
    </w:p>
    <w:p>
      <w:pPr>
        <w:pStyle w:val="Heading3"/>
      </w:pPr>
      <w:r>
        <w:rPr>
          <w:rFonts w:ascii="Calibri" w:hAnsi="Calibri"/>
          <w:b/>
          <w:sz w:val="28"/>
        </w:rPr>
        <w:t>3.1 Manejo de Errores y Excepciones</w:t>
      </w:r>
    </w:p>
    <w:p>
      <w:pPr>
        <w:pStyle w:val="Heading4"/>
      </w:pPr>
      <w:r>
        <w:rPr>
          <w:rFonts w:ascii="Calibri" w:hAnsi="Calibri"/>
          <w:b/>
          <w:sz w:val="24"/>
        </w:rPr>
        <w:t>3.1.1 Roles y usuarios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Rol</w:t>
            </w:r>
          </w:p>
        </w:tc>
        <w:tc>
          <w:tcPr>
            <w:tcW w:type="dxa" w:w="4703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Equipo de Soporte L2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[PENDIENTE: buzón de soporte del proyecto]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Operador en turno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[PENDIENTE]</w:t>
            </w:r>
          </w:p>
        </w:tc>
      </w:tr>
    </w:tbl>
    <w:p/>
    <w:p>
      <w:pPr>
        <w:pStyle w:val="Heading4"/>
      </w:pPr>
      <w:r>
        <w:rPr>
          <w:rFonts w:ascii="Calibri" w:hAnsi="Calibri"/>
          <w:b/>
          <w:sz w:val="24"/>
        </w:rPr>
        <w:t>3.1.2 Errores, advertencias y avisos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Acción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Rol Receptor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VALIDATION_ERROR</w:t>
            </w:r>
            <w:r>
              <w:rPr>
                <w:rFonts w:ascii="Calibri" w:hAnsi="Calibri"/>
                <w:sz w:val="20"/>
              </w:rPr>
              <w:t xml:space="preserve"> (400) — request inválido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Corregir payload según detalle por campo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Consumidor (POS)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PRODUCTO_O_SERVICIO_REQUERIDO</w:t>
            </w:r>
            <w:r>
              <w:rPr>
                <w:rFonts w:ascii="Calibri" w:hAnsi="Calibri"/>
                <w:sz w:val="20"/>
              </w:rPr>
              <w:t xml:space="preserve"> (422) — regla de negocio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Enviar al menos producto o servicio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Consumidor (POS)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SPIN_*</w:t>
            </w:r>
            <w:r>
              <w:rPr>
                <w:rFonts w:ascii="Calibri" w:hAnsi="Calibri"/>
                <w:sz w:val="20"/>
              </w:rPr>
              <w:t xml:space="preserve"> (502/503/504/429) — falla del proveedor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Reintentar; si persiste, escalar a soporte con traceId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Soporte L2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INTERNAL_ERROR</w:t>
            </w:r>
            <w:r>
              <w:rPr>
                <w:rFonts w:ascii="Calibri" w:hAnsi="Calibri"/>
                <w:sz w:val="20"/>
              </w:rPr>
              <w:t xml:space="preserve"> (500) — error no controlado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Escalar con traceId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Soporte L2</w:t>
            </w:r>
          </w:p>
        </w:tc>
      </w:tr>
    </w:tbl>
    <w:p/>
    <w:p>
      <w:pPr>
        <w:pStyle w:val="Heading3"/>
      </w:pPr>
      <w:r>
        <w:rPr>
          <w:rFonts w:ascii="Calibri" w:hAnsi="Calibri"/>
          <w:b/>
          <w:sz w:val="28"/>
        </w:rPr>
        <w:t>3.2 Entrada y Salida</w:t>
      </w:r>
    </w:p>
    <w:p>
      <w:r>
        <w:rPr>
          <w:rFonts w:ascii="Calibri" w:hAnsi="Calibri"/>
          <w:sz w:val="20"/>
        </w:rPr>
        <w:t>POST /rest/v1/comision-variable/comision</w:t>
      </w:r>
    </w:p>
    <w:p>
      <w:r>
        <w:rPr>
          <w:rFonts w:ascii="Calibri" w:hAnsi="Calibri"/>
          <w:sz w:val="22"/>
        </w:rPr>
        <w:t xml:space="preserve">Request (JSON): </w:t>
      </w:r>
      <w:r>
        <w:rPr>
          <w:rFonts w:ascii="Calibri" w:hAnsi="Calibri"/>
          <w:sz w:val="20"/>
        </w:rPr>
        <w:t>id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plaza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tienda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caja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transaccion</w:t>
      </w:r>
      <w:r>
        <w:rPr>
          <w:rFonts w:ascii="Calibri" w:hAnsi="Calibri"/>
          <w:sz w:val="22"/>
        </w:rPr>
        <w:t xml:space="preserve"> (obligatorios), </w:t>
      </w:r>
      <w:r>
        <w:rPr>
          <w:rFonts w:ascii="Calibri" w:hAnsi="Calibri"/>
          <w:sz w:val="20"/>
        </w:rPr>
        <w:t>producto</w:t>
      </w:r>
      <w:r>
        <w:rPr>
          <w:rFonts w:ascii="Calibri" w:hAnsi="Calibri"/>
          <w:sz w:val="22"/>
        </w:rPr>
        <w:t xml:space="preserve"> y/o </w:t>
      </w:r>
      <w:r>
        <w:rPr>
          <w:rFonts w:ascii="Calibri" w:hAnsi="Calibri"/>
          <w:sz w:val="20"/>
        </w:rPr>
        <w:t>servicio</w:t>
      </w:r>
      <w:r>
        <w:rPr>
          <w:rFonts w:ascii="Calibri" w:hAnsi="Calibri"/>
          <w:sz w:val="22"/>
        </w:rPr>
        <w:t xml:space="preserve">. Response 200 (JSON): </w:t>
      </w:r>
      <w:r>
        <w:rPr>
          <w:rFonts w:ascii="Calibri" w:hAnsi="Calibri"/>
          <w:sz w:val="20"/>
        </w:rPr>
        <w:t>id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plaza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tienda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caja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concepto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porcentajeComision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montoComision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moneda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timestamp</w:t>
      </w:r>
      <w:r>
        <w:rPr>
          <w:rFonts w:ascii="Calibri" w:hAnsi="Calibri"/>
          <w:sz w:val="22"/>
        </w:rPr>
        <w:t xml:space="preserve"> + header </w:t>
      </w:r>
      <w:r>
        <w:rPr>
          <w:rFonts w:ascii="Calibri" w:hAnsi="Calibri"/>
          <w:sz w:val="20"/>
        </w:rPr>
        <w:t>Location</w:t>
      </w:r>
      <w:r>
        <w:rPr>
          <w:rFonts w:ascii="Calibri" w:hAnsi="Calibri"/>
          <w:sz w:val="22"/>
        </w:rPr>
        <w:t xml:space="preserve">. Errores: </w:t>
      </w:r>
      <w:r>
        <w:rPr>
          <w:rFonts w:ascii="Calibri" w:hAnsi="Calibri"/>
          <w:sz w:val="20"/>
        </w:rPr>
        <w:t>ErrorResponse</w:t>
      </w:r>
      <w:r>
        <w:rPr>
          <w:rFonts w:ascii="Calibri" w:hAnsi="Calibri"/>
          <w:sz w:val="22"/>
        </w:rPr>
        <w:t xml:space="preserve"> con </w:t>
      </w:r>
      <w:r>
        <w:rPr>
          <w:rFonts w:ascii="Calibri" w:hAnsi="Calibri"/>
          <w:sz w:val="20"/>
        </w:rPr>
        <w:t>codigo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mensaje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status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traceId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timestamp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errores[]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rPr>
          <w:rFonts w:ascii="Calibri" w:hAnsi="Calibri"/>
          <w:b/>
          <w:sz w:val="28"/>
        </w:rPr>
        <w:t>3.3 Reglas de Transformación</w:t>
      </w:r>
    </w:p>
    <w:p>
      <w:r>
        <w:rPr>
          <w:rFonts w:ascii="Calibri" w:hAnsi="Calibri"/>
          <w:sz w:val="22"/>
        </w:rPr>
        <w:t xml:space="preserve">Mapeo en adaptadores: </w:t>
      </w:r>
      <w:r>
        <w:rPr>
          <w:rFonts w:ascii="Calibri" w:hAnsi="Calibri"/>
          <w:sz w:val="20"/>
        </w:rPr>
        <w:t>ComisionRequest</w:t>
      </w:r>
      <w:r>
        <w:rPr>
          <w:rFonts w:ascii="Calibri" w:hAnsi="Calibri"/>
          <w:sz w:val="22"/>
        </w:rPr>
        <w:t xml:space="preserve"> (DTO) → </w:t>
      </w:r>
      <w:r>
        <w:rPr>
          <w:rFonts w:ascii="Calibri" w:hAnsi="Calibri"/>
          <w:sz w:val="20"/>
        </w:rPr>
        <w:t>Consulta</w:t>
      </w:r>
      <w:r>
        <w:rPr>
          <w:rFonts w:ascii="Calibri" w:hAnsi="Calibri"/>
          <w:sz w:val="22"/>
        </w:rPr>
        <w:t xml:space="preserve"> (dominio) → </w:t>
      </w:r>
      <w:r>
        <w:rPr>
          <w:rFonts w:ascii="Calibri" w:hAnsi="Calibri"/>
          <w:sz w:val="20"/>
        </w:rPr>
        <w:t>SpinComisionRequest</w:t>
      </w:r>
      <w:r>
        <w:rPr>
          <w:rFonts w:ascii="Calibri" w:hAnsi="Calibri"/>
          <w:sz w:val="22"/>
        </w:rPr>
        <w:t xml:space="preserve">; </w:t>
      </w:r>
      <w:r>
        <w:rPr>
          <w:rFonts w:ascii="Calibri" w:hAnsi="Calibri"/>
          <w:sz w:val="20"/>
        </w:rPr>
        <w:t>SpinComisionResponse</w:t>
      </w:r>
      <w:r>
        <w:rPr>
          <w:rFonts w:ascii="Calibri" w:hAnsi="Calibri"/>
          <w:sz w:val="22"/>
        </w:rPr>
        <w:t xml:space="preserve"> → </w:t>
      </w:r>
      <w:r>
        <w:rPr>
          <w:rFonts w:ascii="Calibri" w:hAnsi="Calibri"/>
          <w:sz w:val="20"/>
        </w:rPr>
        <w:t>Comision</w:t>
      </w:r>
      <w:r>
        <w:rPr>
          <w:rFonts w:ascii="Calibri" w:hAnsi="Calibri"/>
          <w:sz w:val="22"/>
        </w:rPr>
        <w:t xml:space="preserve"> (dominio) → </w:t>
      </w:r>
      <w:r>
        <w:rPr>
          <w:rFonts w:ascii="Calibri" w:hAnsi="Calibri"/>
          <w:sz w:val="20"/>
        </w:rPr>
        <w:t>ComisionResponse</w:t>
      </w:r>
      <w:r>
        <w:rPr>
          <w:rFonts w:ascii="Calibri" w:hAnsi="Calibri"/>
          <w:sz w:val="22"/>
        </w:rPr>
        <w:t xml:space="preserve"> (DTO). El concepto prioriza servicio sobre producto.</w:t>
      </w:r>
    </w:p>
    <w:p>
      <w:pPr>
        <w:pStyle w:val="Heading2"/>
      </w:pPr>
      <w:r>
        <w:rPr>
          <w:rFonts w:ascii="Calibri" w:hAnsi="Calibri"/>
          <w:b/>
          <w:color w:val="1F497D"/>
          <w:sz w:val="32"/>
        </w:rPr>
        <w:t>4. Diseño Técnico</w:t>
      </w:r>
    </w:p>
    <w:p>
      <w:pPr>
        <w:pStyle w:val="Heading3"/>
      </w:pPr>
      <w:r>
        <w:rPr>
          <w:rFonts w:ascii="Calibri" w:hAnsi="Calibri"/>
          <w:b/>
          <w:sz w:val="28"/>
        </w:rPr>
        <w:t>4.1 Modelado de la aplicación</w:t>
      </w:r>
    </w:p>
    <w:p>
      <w:pPr>
        <w:pStyle w:val="Heading4"/>
      </w:pPr>
      <w:r>
        <w:rPr>
          <w:rFonts w:ascii="Calibri" w:hAnsi="Calibri"/>
          <w:b/>
          <w:sz w:val="24"/>
        </w:rPr>
        <w:t>4.1.1 Diagrama de despliegue</w:t>
      </w:r>
    </w:p>
    <w:p>
      <w:r>
        <w:rPr>
          <w:rFonts w:ascii="Calibri" w:hAnsi="Calibri"/>
          <w:sz w:val="22"/>
        </w:rPr>
        <w:t>[PENDIENTE: Figura 02 — diagrama de despliegue OpenShift]</w:t>
      </w:r>
    </w:p>
    <w:p>
      <w:pPr>
        <w:pStyle w:val="Heading4"/>
      </w:pPr>
      <w:r>
        <w:rPr>
          <w:rFonts w:ascii="Calibri" w:hAnsi="Calibri"/>
          <w:b/>
          <w:sz w:val="24"/>
        </w:rPr>
        <w:t>4.1.2 Diagrama de componentes</w:t>
      </w:r>
    </w:p>
    <w:p>
      <w:r>
        <w:rPr>
          <w:rFonts w:ascii="Calibri" w:hAnsi="Calibri"/>
          <w:sz w:val="22"/>
        </w:rPr>
        <w:t>[PENDIENTE: Figura 03 — diagrama de componentes]. Componentes principales: adaptador REST (entrada), servicio de aplicación (caso de uso), adaptador Spin (resiliencia + OAuth2), adaptador de persistencia (bitácora), infraestructura (logging/health/OpenAPI).</w:t>
      </w:r>
    </w:p>
    <w:p>
      <w:pPr>
        <w:pStyle w:val="Heading4"/>
      </w:pPr>
      <w:r>
        <w:rPr>
          <w:rFonts w:ascii="Calibri" w:hAnsi="Calibri"/>
          <w:b/>
          <w:sz w:val="24"/>
        </w:rPr>
        <w:t>4.1.3 Diagrama Entidad-Relación</w:t>
      </w:r>
    </w:p>
    <w:p>
      <w:r>
        <w:rPr>
          <w:rFonts w:ascii="Calibri" w:hAnsi="Calibri"/>
          <w:sz w:val="22"/>
        </w:rPr>
        <w:t>[PENDIENTE: Figura 04 — diagrama ER]. Dos tablas independientes:</w:t>
      </w:r>
    </w:p>
    <w:p>
      <w:pPr>
        <w:shd w:val="clear" w:fill="F2F2F2"/>
      </w:pPr>
      <w:r>
        <w:rPr>
          <w:rFonts w:ascii="Consolas" w:hAnsi="Consolas"/>
          <w:sz w:val="18"/>
        </w:rPr>
        <w:t>bitacora_consumo (PARTICIONADA POR MES, RANGE creado_en)</w:t>
        <w:br/>
        <w:t xml:space="preserve">  id BIGINT IDENTITY · correlation_id · trace_id · consulta_id · plaza · tienda</w:t>
        <w:br/>
        <w:t xml:space="preserve">  caja · transaccion · request_payload JSONB · response_payload JSONB</w:t>
        <w:br/>
        <w:t xml:space="preserve">  http_status · resultado · error_codigo · error_mensaje · intentos</w:t>
        <w:br/>
        <w:t xml:space="preserve">  latencia_ms · creado_en TIMESTAMPTZ      PK (id, creado_en)</w:t>
        <w:br/>
        <w:br/>
        <w:t>configuracion_servicio</w:t>
        <w:br/>
        <w:t xml:space="preserve">  clave VARCHAR(80) PK · valor · descripcion · actualizado_en</w:t>
      </w:r>
    </w:p>
    <w:p>
      <w:pPr>
        <w:pStyle w:val="Heading4"/>
      </w:pPr>
      <w:r>
        <w:rPr>
          <w:rFonts w:ascii="Calibri" w:hAnsi="Calibri"/>
          <w:b/>
          <w:sz w:val="24"/>
        </w:rPr>
        <w:t>4.1.4 Diagrama de secuencia</w:t>
      </w:r>
    </w:p>
    <w:p>
      <w:r>
        <w:rPr>
          <w:rFonts w:ascii="Calibri" w:hAnsi="Calibri"/>
          <w:sz w:val="22"/>
        </w:rPr>
        <w:t>[PENDIENTE: Figura 05 — secuencia de consulta de comisión]</w:t>
      </w:r>
    </w:p>
    <w:p>
      <w:pPr>
        <w:pStyle w:val="Heading3"/>
      </w:pPr>
      <w:r>
        <w:rPr>
          <w:rFonts w:ascii="Calibri" w:hAnsi="Calibri"/>
          <w:b/>
          <w:sz w:val="28"/>
        </w:rPr>
        <w:t>4.2 Cambios de la versión actual</w:t>
      </w:r>
    </w:p>
    <w:p>
      <w:r>
        <w:rPr>
          <w:rFonts w:ascii="Calibri" w:hAnsi="Calibri"/>
          <w:sz w:val="22"/>
        </w:rPr>
        <w:t>Versión inicial (v0.1). No aplica comparación con versión previa.</w:t>
      </w:r>
    </w:p>
    <w:p>
      <w:pPr>
        <w:pStyle w:val="Heading3"/>
      </w:pPr>
      <w:r>
        <w:rPr>
          <w:rFonts w:ascii="Calibri" w:hAnsi="Calibri"/>
          <w:b/>
          <w:sz w:val="28"/>
        </w:rPr>
        <w:t>4.3 Restricciones de diseño</w:t>
      </w:r>
    </w:p>
    <w:p>
      <w:r>
        <w:rPr>
          <w:rFonts w:ascii="Calibri" w:hAnsi="Calibri"/>
          <w:sz w:val="22"/>
        </w:rPr>
        <w:t>Microservicios en Quarkus (último LTS) sobre UBI10-minimal + Java 21; despliegue en OpenShift ROSA/ARO; uso de dev-containers; sin Lombok; arquitectura hexagonal obligatoria (decisión JUN-002); cobertura de pruebas ≥ 90% (JUN-002).</w:t>
      </w:r>
    </w:p>
    <w:p>
      <w:pPr>
        <w:pStyle w:val="Heading3"/>
      </w:pPr>
      <w:r>
        <w:rPr>
          <w:rFonts w:ascii="Calibri" w:hAnsi="Calibri"/>
          <w:b/>
          <w:sz w:val="28"/>
        </w:rPr>
        <w:t>4.4 Requerimientos de Licencia</w:t>
      </w:r>
    </w:p>
    <w:p>
      <w:r>
        <w:rPr>
          <w:rFonts w:ascii="Calibri" w:hAnsi="Calibri"/>
          <w:sz w:val="22"/>
        </w:rPr>
        <w:t>Dependencias open source bajo Apache 2.0 / EPL (Quarkus, SmallRye, Hibernate, Flyway). Imagen base UBI10 (Red Hat, términos UBI). [PENDIENTE: validación formal de licencias por el área correspondiente].</w:t>
      </w:r>
    </w:p>
    <w:p>
      <w:pPr>
        <w:pStyle w:val="Heading3"/>
      </w:pPr>
      <w:r>
        <w:rPr>
          <w:rFonts w:ascii="Calibri" w:hAnsi="Calibri"/>
          <w:b/>
          <w:sz w:val="28"/>
        </w:rPr>
        <w:t>4.5 Componentes Comprados</w:t>
      </w:r>
    </w:p>
    <w:p>
      <w:r>
        <w:rPr>
          <w:rFonts w:ascii="Calibri" w:hAnsi="Calibri"/>
          <w:sz w:val="22"/>
        </w:rPr>
        <w:t>NA.</w:t>
      </w:r>
    </w:p>
    <w:p>
      <w:pPr>
        <w:pStyle w:val="Heading3"/>
      </w:pPr>
      <w:r>
        <w:rPr>
          <w:rFonts w:ascii="Calibri" w:hAnsi="Calibri"/>
          <w:b/>
          <w:sz w:val="28"/>
        </w:rPr>
        <w:t>4.6 Requerimientos de base de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Base de datos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Esquema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Tabla / Vista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Permisos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comvar (PostgreSQL)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public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bitacora_consumo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SELECT, INSERT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comvar (PostgreSQL)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public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configuracion_servicio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SELECT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comvar (PostgreSQL)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public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funciones </w:t>
            </w:r>
            <w:r>
              <w:rPr>
                <w:rFonts w:ascii="Calibri" w:hAnsi="Calibri"/>
                <w:sz w:val="20"/>
              </w:rPr>
              <w:t>crear_particiones_futuras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sz w:val="20"/>
              </w:rPr>
              <w:t>purgar_particiones_antiguas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EXECUTE</w:t>
            </w:r>
          </w:p>
        </w:tc>
      </w:tr>
    </w:tbl>
    <w:p/>
    <w:p>
      <w:pPr>
        <w:pStyle w:val="Heading3"/>
      </w:pPr>
      <w:r>
        <w:rPr>
          <w:rFonts w:ascii="Calibri" w:hAnsi="Calibri"/>
          <w:b/>
          <w:sz w:val="28"/>
        </w:rPr>
        <w:t>4.7 Especificaciones del Software</w:t>
      </w:r>
    </w:p>
    <w:p>
      <w:r>
        <w:rPr>
          <w:rFonts w:ascii="Calibri" w:hAnsi="Calibri"/>
          <w:sz w:val="22"/>
        </w:rPr>
        <w:t>NA (servicio backend; sin componente POS en este piloto).</w:t>
      </w:r>
    </w:p>
    <w:p>
      <w:pPr>
        <w:pStyle w:val="Heading2"/>
      </w:pPr>
      <w:r>
        <w:rPr>
          <w:rFonts w:ascii="Calibri" w:hAnsi="Calibri"/>
          <w:b/>
          <w:color w:val="1F497D"/>
          <w:sz w:val="32"/>
        </w:rPr>
        <w:t>Firmas de aprobación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Patrocinador</w:t>
            </w:r>
          </w:p>
        </w:tc>
      </w:tr>
      <w:tr>
        <w:tc>
          <w:tcPr>
            <w:tcW w:type="dxa" w:w="94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Firma:</w:t>
            </w:r>
          </w:p>
        </w:tc>
      </w:tr>
      <w:tr>
        <w:tc>
          <w:tcPr>
            <w:tcW w:type="dxa" w:w="94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Nombre: [PENDIENTE]</w:t>
            </w:r>
          </w:p>
        </w:tc>
      </w:tr>
      <w:tr>
        <w:tc>
          <w:tcPr>
            <w:tcW w:type="dxa" w:w="94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Puesto: [PENDIENTE]</w:t>
            </w:r>
          </w:p>
        </w:tc>
      </w:tr>
      <w:tr>
        <w:tc>
          <w:tcPr>
            <w:tcW w:type="dxa" w:w="94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Área: [PENDIENTE]</w:t>
            </w:r>
          </w:p>
        </w:tc>
      </w:tr>
      <w:tr>
        <w:tc>
          <w:tcPr>
            <w:tcW w:type="dxa" w:w="94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Fecha: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Líder de Iniciativa</w:t>
            </w:r>
          </w:p>
        </w:tc>
      </w:tr>
      <w:tr>
        <w:tc>
          <w:tcPr>
            <w:tcW w:type="dxa" w:w="94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Firma:</w:t>
            </w:r>
          </w:p>
        </w:tc>
      </w:tr>
      <w:tr>
        <w:tc>
          <w:tcPr>
            <w:tcW w:type="dxa" w:w="94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Nombre: [PENDIENTE]</w:t>
            </w:r>
          </w:p>
        </w:tc>
      </w:tr>
      <w:tr>
        <w:tc>
          <w:tcPr>
            <w:tcW w:type="dxa" w:w="94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Fecha: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Líder de Proyecto TI</w:t>
            </w:r>
          </w:p>
        </w:tc>
      </w:tr>
      <w:tr>
        <w:tc>
          <w:tcPr>
            <w:tcW w:type="dxa" w:w="94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Firma:</w:t>
            </w:r>
          </w:p>
        </w:tc>
      </w:tr>
      <w:tr>
        <w:tc>
          <w:tcPr>
            <w:tcW w:type="dxa" w:w="94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Nombre: [PENDIENTE]</w:t>
            </w:r>
          </w:p>
        </w:tc>
      </w:tr>
      <w:tr>
        <w:tc>
          <w:tcPr>
            <w:tcW w:type="dxa" w:w="94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Fecha:</w:t>
            </w:r>
          </w:p>
        </w:tc>
      </w:tr>
    </w:tbl>
    <w:p/>
    <w:p>
      <w:r>
        <w:rPr>
          <w:rFonts w:ascii="Calibri" w:hAnsi="Calibri"/>
          <w:sz w:val="22"/>
        </w:rPr>
        <w:t>&lt;!-- fin --&gt;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1984"/>
          <w:vMerge w:val="restart"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007999" cy="42739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emsa_comercio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42739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69"/>
          <w:vMerge w:val="restart"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22"/>
            </w:rPr>
            <w:t>Sistema de Trabajo TI</w:t>
            <w:br/>
          </w:r>
          <w:r>
            <w:rPr>
              <w:rFonts w:ascii="Calibri" w:hAnsi="Calibri"/>
              <w:b/>
              <w:sz w:val="26"/>
            </w:rPr>
            <w:t>Especificación Técnica</w:t>
          </w:r>
        </w:p>
      </w:tc>
      <w:tc>
        <w:tcPr>
          <w:tcW w:type="dxa" w:w="1984"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>
          <w:pPr>
            <w:jc w:val="left"/>
          </w:pPr>
          <w:r>
            <w:rPr>
              <w:rFonts w:ascii="Calibri" w:hAnsi="Calibri"/>
              <w:sz w:val="16"/>
            </w:rPr>
            <w:t>CÓDIGO:</w:t>
            <w:br/>
            <w:t>FCTI_CNF_Especificación Técnica</w:t>
          </w:r>
        </w:p>
      </w:tc>
    </w:tr>
    <w:tr>
      <w:tc>
        <w:tcPr>
          <w:tcW w:type="dxa" w:w="1984"/>
          <w:vMerge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/>
      </w:tc>
      <w:tc>
        <w:tcPr>
          <w:tcW w:type="dxa" w:w="5669"/>
          <w:vMerge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/>
      </w:tc>
      <w:tc>
        <w:tcPr>
          <w:tcW w:type="dxa" w:w="1984"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>
          <w:pPr>
            <w:jc w:val="left"/>
          </w:pPr>
          <w:r>
            <w:rPr>
              <w:rFonts w:ascii="Calibri" w:hAnsi="Calibri"/>
              <w:sz w:val="16"/>
            </w:rPr>
            <w:t>REVISIÓN 5</w:t>
            <w:br/>
            <w:t>29 / 07 / 2016</w:t>
          </w:r>
        </w:p>
      </w:tc>
    </w:tr>
    <w:tr>
      <w:tc>
        <w:tcPr>
          <w:tcW w:type="dxa" w:w="1984"/>
          <w:vMerge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/>
      </w:tc>
      <w:tc>
        <w:tcPr>
          <w:tcW w:type="dxa" w:w="5669"/>
          <w:vMerge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/>
      </w:tc>
      <w:tc>
        <w:tcPr>
          <w:tcW w:type="dxa" w:w="1984"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>
          <w:pPr>
            <w:jc w:val="left"/>
          </w:pPr>
          <w:r>
            <w:rPr>
              <w:rFonts w:ascii="Calibri" w:hAnsi="Calibri"/>
              <w:sz w:val="16"/>
            </w:rPr>
            <w:t>ELABORACIÓN: 04 / 04 / 2012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