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000000"/>
          <w:sz w:val="36"/>
        </w:rPr>
        <w:t>MODELADO DE AMENAZAS (MDA)</w:t>
      </w:r>
    </w:p>
    <w:p>
      <w:r>
        <w:rPr>
          <w:rFonts w:ascii="Calibri" w:hAnsi="Calibri"/>
          <w:i/>
          <w:color w:val="555555"/>
          <w:sz w:val="20"/>
        </w:rPr>
        <w:t>Acompañar este documento con su contraparte .tm7 en Microsoft Threat Modeling Tool.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No. de Versión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Fecha de cambio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Autor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08/06/2026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Modelado STRIDE inicial del piloto.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1. 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Piloto SPIN — Comisión Variable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Clasificación de información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Interna (transaccional)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Criticidad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[PENDIENTE: propuesta Media]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2. Diagrama de Flujo de Datos (DFD)</w:t>
      </w:r>
    </w:p>
    <w:p>
      <w:r>
        <w:rPr>
          <w:rFonts w:ascii="Calibri" w:hAnsi="Calibri"/>
          <w:sz w:val="22"/>
        </w:rPr>
        <w:t>[PENDIENTE: Diagrama nivel 0 — contextual] [PENDIENTE: Diagrama nivel 1 — componentes principales]</w:t>
      </w:r>
    </w:p>
    <w:p>
      <w:r>
        <w:rPr>
          <w:rFonts w:ascii="Calibri" w:hAnsi="Calibri"/>
          <w:sz w:val="22"/>
        </w:rPr>
        <w:t>Descripción textual del flujo:</w:t>
      </w:r>
    </w:p>
    <w:p>
      <w:pPr>
        <w:pStyle w:val="ListNumber"/>
      </w:pPr>
      <w:r>
        <w:rPr>
          <w:rFonts w:ascii="Calibri" w:hAnsi="Calibri"/>
          <w:sz w:val="22"/>
        </w:rPr>
        <w:t xml:space="preserve">POS → comision-variable vía </w:t>
      </w:r>
      <w:r>
        <w:rPr>
          <w:rFonts w:ascii="Calibri" w:hAnsi="Calibri"/>
          <w:sz w:val="22"/>
        </w:rPr>
        <w:t>POST /rest/v1/comision-variable/comision</w:t>
      </w:r>
      <w:r>
        <w:rPr>
          <w:rFonts w:ascii="Calibri" w:hAnsi="Calibri"/>
          <w:sz w:val="22"/>
        </w:rPr>
        <w:t xml:space="preserve"> (HTTPS + Bearer JWT).</w:t>
      </w:r>
    </w:p>
    <w:p>
      <w:pPr>
        <w:pStyle w:val="ListNumber"/>
      </w:pPr>
      <w:r>
        <w:rPr>
          <w:rFonts w:ascii="Calibri" w:hAnsi="Calibri"/>
          <w:sz w:val="22"/>
        </w:rPr>
        <w:t xml:space="preserve">comision-variable → Keycloak (realm </w:t>
      </w:r>
      <w:r>
        <w:rPr>
          <w:rFonts w:ascii="Calibri" w:hAnsi="Calibri"/>
          <w:sz w:val="22"/>
        </w:rPr>
        <w:t>applications</w:t>
      </w:r>
      <w:r>
        <w:rPr>
          <w:rFonts w:ascii="Calibri" w:hAnsi="Calibri"/>
          <w:sz w:val="22"/>
        </w:rPr>
        <w:t>): validación del JWT.</w:t>
      </w:r>
    </w:p>
    <w:p>
      <w:pPr>
        <w:pStyle w:val="ListNumber"/>
      </w:pPr>
      <w:r>
        <w:rPr>
          <w:rFonts w:ascii="Calibri" w:hAnsi="Calibri"/>
          <w:sz w:val="22"/>
        </w:rPr>
        <w:t>comision-variable → API Spin: obtención de token OAuth2 (apikey) y consulta de comisión (HTTPS).</w:t>
      </w:r>
    </w:p>
    <w:p>
      <w:pPr>
        <w:pStyle w:val="ListNumber"/>
      </w:pPr>
      <w:r>
        <w:rPr>
          <w:rFonts w:ascii="Calibri" w:hAnsi="Calibri"/>
          <w:sz w:val="22"/>
        </w:rPr>
        <w:t>comision-variable → PostgreSQL: registro de bitácora.</w:t>
      </w:r>
    </w:p>
    <w:p>
      <w:pPr>
        <w:pStyle w:val="ListNumber"/>
      </w:pPr>
      <w:r>
        <w:rPr>
          <w:rFonts w:ascii="Calibri" w:hAnsi="Calibri"/>
          <w:sz w:val="22"/>
        </w:rPr>
        <w:t>comision-variable → Redis (opcional): cache de token.</w:t>
      </w:r>
    </w:p>
    <w:p>
      <w:pPr>
        <w:pStyle w:val="ListNumber"/>
      </w:pPr>
      <w:r>
        <w:rPr>
          <w:rFonts w:ascii="Calibri" w:hAnsi="Calibri"/>
          <w:sz w:val="22"/>
        </w:rPr>
        <w:t>comision-variable → Datadog: logs/trazas.</w:t>
      </w:r>
    </w:p>
    <w:p>
      <w:pPr>
        <w:pStyle w:val="ListNumber"/>
      </w:pPr>
      <w:r>
        <w:rPr>
          <w:rFonts w:ascii="Calibri" w:hAnsi="Calibri"/>
          <w:sz w:val="22"/>
        </w:rPr>
        <w:t>Conjur → variables de ambiente del contenedor (secretos).</w:t>
      </w:r>
    </w:p>
    <w:p>
      <w:r>
        <w:rPr>
          <w:rFonts w:ascii="Calibri" w:hAnsi="Calibri"/>
          <w:sz w:val="22"/>
        </w:rPr>
        <w:t>Límites de confianza: TB-1 POS↔Route; TB-2 ↔Keycloak; TB-3 ↔API Spin; TB-4 ↔PostgreSQL/Redis.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3. Análisis STRIDE</w:t>
      </w:r>
    </w:p>
    <w:p>
      <w:pPr>
        <w:pStyle w:val="Heading3"/>
      </w:pPr>
      <w:r>
        <w:rPr>
          <w:rFonts w:ascii="Calibri" w:hAnsi="Calibri"/>
          <w:b/>
          <w:sz w:val="28"/>
        </w:rPr>
        <w:t>3.1 Spoofing (suplantación)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Amenaza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Mitigación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Suplantación del consumidor POS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 REST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JWT firmado por Keycloak; </w:t>
            </w:r>
            <w:r>
              <w:rPr>
                <w:rFonts w:ascii="Calibri" w:hAnsi="Calibri"/>
                <w:sz w:val="20"/>
              </w:rPr>
              <w:t>@Authenticated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Emisor de token falso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Keycloak/OIDC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Validación de firma e issuer en la configuración OIDC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3.2 Tampering (manipulación)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Amenaza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Mitigación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Alteración del payload en tránsito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Red (POS/Spin)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TLS (Route edge / HTTPS a Spin); validación de entrada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Modificación de la bitácora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Credenciales Conjur; mínimo privilegio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3.3 Repudiation (no repudio)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Amenaza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Mitigación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Negación de una consulta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Bitácora/Logs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Registro con </w:t>
            </w:r>
            <w:r>
              <w:rPr>
                <w:rFonts w:ascii="Calibri" w:hAnsi="Calibri"/>
                <w:sz w:val="20"/>
              </w:rPr>
              <w:t>correlation_id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sz w:val="20"/>
              </w:rPr>
              <w:t>trace_id</w:t>
            </w:r>
            <w:r>
              <w:rPr>
                <w:rFonts w:ascii="Calibri" w:hAnsi="Calibri"/>
                <w:sz w:val="20"/>
              </w:rPr>
              <w:t xml:space="preserve"> y timestamp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3.4 Information Disclosure (divulgación)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Amenaza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Mitigación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Exposición de stacktrace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ErrorResponse</w:t>
            </w:r>
            <w:r>
              <w:rPr>
                <w:rFonts w:ascii="Calibri" w:hAnsi="Calibri"/>
                <w:sz w:val="20"/>
              </w:rPr>
              <w:t xml:space="preserve"> homogéneo, sin stack al cliente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Secretos/credenciales en logs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Logs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Logs JSON sin secretos; secretos sólo por Conjur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3.5 Denial of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Amenaza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Mitigación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Saturación del proveedor Spin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Integración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Circuit breaker + rate limit + timeout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Pool de conexiones agotado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Tamaño de pool configurado; consultas acotadas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Flood de peticiones al endpoint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(infra) WAF/Gateway + HPA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3.6 Elevation of Privilege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Amenaza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Mitigación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Acceso a operaciones no permitidas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Roles del realm; servicio de solo consulta; mínimo privilegio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4. Checklist para importar al .tm7</w:t>
      </w:r>
    </w:p>
    <w:p>
      <w:pPr>
        <w:pStyle w:val="ListBullet"/>
      </w:pPr>
      <w:r>
        <w:rPr>
          <w:rFonts w:ascii="Calibri" w:hAnsi="Calibri"/>
          <w:sz w:val="22"/>
        </w:rPr>
        <w:t>[ ] External entities: POS, Keycloak, API Spin, Datadog, Conjur.</w:t>
      </w:r>
    </w:p>
    <w:p>
      <w:pPr>
        <w:pStyle w:val="ListBullet"/>
      </w:pPr>
      <w:r>
        <w:rPr>
          <w:rFonts w:ascii="Calibri" w:hAnsi="Calibri"/>
          <w:sz w:val="22"/>
        </w:rPr>
        <w:t>[ ] Process: comision-variable.</w:t>
      </w:r>
    </w:p>
    <w:p>
      <w:pPr>
        <w:pStyle w:val="ListBullet"/>
      </w:pPr>
      <w:r>
        <w:rPr>
          <w:rFonts w:ascii="Calibri" w:hAnsi="Calibri"/>
          <w:sz w:val="22"/>
        </w:rPr>
        <w:t>[ ] Data stores: PostgreSQL (bitácora/config), Redis (cache).</w:t>
      </w:r>
    </w:p>
    <w:p>
      <w:pPr>
        <w:pStyle w:val="ListBullet"/>
      </w:pPr>
      <w:r>
        <w:rPr>
          <w:rFonts w:ascii="Calibri" w:hAnsi="Calibri"/>
          <w:sz w:val="22"/>
        </w:rPr>
        <w:t>[ ] Data flows: los 7 del DFD (sección 2) con su protocolo.</w:t>
      </w:r>
    </w:p>
    <w:p>
      <w:pPr>
        <w:pStyle w:val="ListBullet"/>
      </w:pPr>
      <w:r>
        <w:rPr>
          <w:rFonts w:ascii="Calibri" w:hAnsi="Calibri"/>
          <w:sz w:val="22"/>
        </w:rPr>
        <w:t>[ ] Trust boundaries: TB-1..TB-4.</w:t>
      </w:r>
    </w:p>
    <w:p>
      <w:pPr>
        <w:pStyle w:val="ListBullet"/>
      </w:pPr>
      <w:r>
        <w:rPr>
          <w:rFonts w:ascii="Calibri" w:hAnsi="Calibri"/>
          <w:sz w:val="22"/>
        </w:rPr>
        <w:t>[ ] Generar amenazas automáticas y validar contra la tabla STRIDE (sección 3).</w:t>
      </w:r>
    </w:p>
    <w:p>
      <w:pPr>
        <w:pStyle w:val="ListBullet"/>
      </w:pPr>
      <w:r>
        <w:rPr>
          <w:rFonts w:ascii="Calibri" w:hAnsi="Calibri"/>
          <w:sz w:val="22"/>
        </w:rPr>
        <w:t xml:space="preserve">[ ] Documentar estado (mitigado / pendiente) y adjuntar el </w:t>
      </w:r>
      <w:r>
        <w:rPr>
          <w:rFonts w:ascii="Calibri" w:hAnsi="Calibri"/>
          <w:sz w:val="22"/>
        </w:rPr>
        <w:t>.tm7</w:t>
      </w:r>
      <w:r>
        <w:rPr>
          <w:rFonts w:ascii="Calibri" w:hAnsi="Calibri"/>
          <w:sz w:val="22"/>
        </w:rPr>
        <w:t xml:space="preserve"> en SharePoint.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5. Amenazas no mitigadas (issues abiertos)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Amenaza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Severidad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Flood al endpoint (sin WAF/Gateway perimetral)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Habilitar protección perimetral en infraestructura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mTLS interno entre servicios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Evaluar cuando esté disponible en la malla/cluster</w:t>
            </w:r>
          </w:p>
        </w:tc>
      </w:tr>
    </w:tbl>
    <w:p/>
    <w:p>
      <w:r>
        <w:rPr>
          <w:rFonts w:ascii="Calibri" w:hAnsi="Calibri"/>
          <w:sz w:val="22"/>
        </w:rPr>
        <w:t>&lt;!-- fin --&gt;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1984"/>
          <w:vMerge w:val="restart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07999" cy="42739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emsa_comerci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4273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vMerge w:val="restart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22"/>
            </w:rPr>
            <w:t>Sistema de Trabajo TI</w:t>
            <w:br/>
          </w:r>
          <w:r>
            <w:rPr>
              <w:rFonts w:ascii="Calibri" w:hAnsi="Calibri"/>
              <w:b/>
              <w:sz w:val="26"/>
            </w:rPr>
            <w:t>Modelado de Amenazas</w:t>
          </w:r>
        </w:p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CÓDIGO:</w:t>
            <w:br/>
            <w:t>FCTI_CNF_MDA</w:t>
          </w:r>
        </w:p>
      </w:tc>
    </w:tr>
    <w:tr>
      <w:tc>
        <w:tcPr>
          <w:tcW w:type="dxa" w:w="1984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5669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REVISIÓN 1</w:t>
          </w:r>
        </w:p>
      </w:tc>
    </w:tr>
    <w:tr>
      <w:tc>
        <w:tcPr>
          <w:tcW w:type="dxa" w:w="1984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5669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