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6"/>
        </w:rPr>
        <w:t>PRINCIPIOS DE SEGURIDAD APLICADOS (S-SDLC)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No. de Versión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 de cambio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Autor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Principios S-SDLC aplicados en el piloto.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1. 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Piloto SPIN — Comisión Variable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Versión del código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1.0.0-SNAPSHOT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2. Principios S-SDLC aplicados</w:t>
      </w:r>
    </w:p>
    <w:p>
      <w:pPr>
        <w:pStyle w:val="Heading3"/>
      </w:pPr>
      <w:r>
        <w:rPr>
          <w:rFonts w:ascii="Calibri" w:hAnsi="Calibri"/>
          <w:b/>
          <w:sz w:val="28"/>
        </w:rPr>
        <w:t>2.1 Fase de Requisitos</w:t>
      </w:r>
    </w:p>
    <w:p>
      <w:pPr>
        <w:pStyle w:val="ListBullet"/>
      </w:pPr>
      <w:r>
        <w:rPr>
          <w:rFonts w:ascii="Calibri" w:hAnsi="Calibri"/>
          <w:sz w:val="22"/>
        </w:rPr>
        <w:t xml:space="preserve">[x] Requisitos de seguridad documentados en </w:t>
      </w:r>
      <w:r>
        <w:rPr>
          <w:rFonts w:ascii="Calibri" w:hAnsi="Calibri"/>
          <w:sz w:val="22"/>
        </w:rPr>
        <w:t>specs/04-decisiones.md</w:t>
      </w:r>
      <w:r>
        <w:rPr>
          <w:rFonts w:ascii="Calibri" w:hAnsi="Calibri"/>
          <w:sz w:val="22"/>
        </w:rPr>
        <w:t xml:space="preserve"> (JUN-002) y </w:t>
      </w:r>
      <w:r>
        <w:rPr>
          <w:rFonts w:ascii="Calibri" w:hAnsi="Calibri"/>
          <w:sz w:val="22"/>
        </w:rPr>
        <w:t>specs/03-integraciones.md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[x] Clasificación de datos identificada (ver ARA §1): información interna, sin datos personales sensibles.</w:t>
      </w:r>
    </w:p>
    <w:p>
      <w:pPr>
        <w:pStyle w:val="ListBullet"/>
      </w:pPr>
      <w:r>
        <w:rPr>
          <w:rFonts w:ascii="Calibri" w:hAnsi="Calibri"/>
          <w:sz w:val="22"/>
        </w:rPr>
        <w:t>[ ] Stakeholders de seguridad consultados (Seguridad TI FEMSA) — [PENDIENTE].</w:t>
      </w:r>
    </w:p>
    <w:p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0"/>
        </w:rPr>
        <w:t>specs/</w:t>
      </w:r>
      <w:r>
        <w:rPr>
          <w:rFonts w:ascii="Calibri" w:hAnsi="Calibri"/>
          <w:sz w:val="22"/>
        </w:rPr>
        <w:t>, decisión JUN-002.</w:t>
      </w:r>
    </w:p>
    <w:p>
      <w:pPr>
        <w:pStyle w:val="Heading3"/>
      </w:pPr>
      <w:r>
        <w:rPr>
          <w:rFonts w:ascii="Calibri" w:hAnsi="Calibri"/>
          <w:b/>
          <w:sz w:val="28"/>
        </w:rPr>
        <w:t>2.2 Fase de Diseño</w:t>
      </w:r>
    </w:p>
    <w:p>
      <w:pPr>
        <w:pStyle w:val="ListBullet"/>
      </w:pPr>
      <w:r>
        <w:rPr>
          <w:rFonts w:ascii="Calibri" w:hAnsi="Calibri"/>
          <w:sz w:val="22"/>
        </w:rPr>
        <w:t>[x] Modelado de amenazas completado (ver MDA).</w:t>
      </w:r>
    </w:p>
    <w:p>
      <w:pPr>
        <w:pStyle w:val="ListBullet"/>
      </w:pPr>
      <w:r>
        <w:rPr>
          <w:rFonts w:ascii="Calibri" w:hAnsi="Calibri"/>
          <w:sz w:val="22"/>
        </w:rPr>
        <w:t>[x] Análisis de riesgo aplicativo completado (ver ARA).</w:t>
      </w:r>
    </w:p>
    <w:p>
      <w:pPr>
        <w:pStyle w:val="ListBullet"/>
      </w:pPr>
      <w:r>
        <w:rPr>
          <w:rFonts w:ascii="Calibri" w:hAnsi="Calibri"/>
          <w:sz w:val="22"/>
        </w:rPr>
        <w:t xml:space="preserve">[x] Modelo de autenticación documentado (Keycloak realm </w:t>
      </w:r>
      <w:r>
        <w:rPr>
          <w:rFonts w:ascii="Calibri" w:hAnsi="Calibri"/>
          <w:sz w:val="22"/>
        </w:rPr>
        <w:t>applications</w:t>
      </w:r>
      <w:r>
        <w:rPr>
          <w:rFonts w:ascii="Calibri" w:hAnsi="Calibri"/>
          <w:sz w:val="22"/>
        </w:rPr>
        <w:t>, Esp. Técnica §2.4).</w:t>
      </w:r>
    </w:p>
    <w:p>
      <w:pPr>
        <w:pStyle w:val="ListBullet"/>
      </w:pPr>
      <w:r>
        <w:rPr>
          <w:rFonts w:ascii="Calibri" w:hAnsi="Calibri"/>
          <w:sz w:val="22"/>
        </w:rPr>
        <w:t>[x] Manejo de secretos definido (CyberArk Conjur, variables de ambiente).</w:t>
      </w:r>
    </w:p>
    <w:p>
      <w:pPr>
        <w:pStyle w:val="ListBullet"/>
      </w:pPr>
      <w:r>
        <w:rPr>
          <w:rFonts w:ascii="Calibri" w:hAnsi="Calibri"/>
          <w:sz w:val="22"/>
        </w:rPr>
        <w:t>[x] Arquitectura hexagonal que aísla el núcleo y facilita revisión/pruebas.</w:t>
      </w:r>
    </w:p>
    <w:p>
      <w:pPr>
        <w:pStyle w:val="Heading3"/>
      </w:pPr>
      <w:r>
        <w:rPr>
          <w:rFonts w:ascii="Calibri" w:hAnsi="Calibri"/>
          <w:b/>
          <w:sz w:val="28"/>
        </w:rPr>
        <w:t>2.3 Fase de Codificación</w:t>
      </w:r>
    </w:p>
    <w:p>
      <w:pPr>
        <w:pStyle w:val="ListBullet"/>
      </w:pPr>
      <w:r>
        <w:rPr>
          <w:rFonts w:ascii="Calibri" w:hAnsi="Calibri"/>
          <w:sz w:val="22"/>
        </w:rPr>
        <w:t>[x] Estándares seguidos (</w:t>
      </w:r>
      <w:r>
        <w:rPr>
          <w:rFonts w:ascii="Calibri" w:hAnsi="Calibri"/>
          <w:sz w:val="22"/>
        </w:rPr>
        <w:t>.claude/standards/codigo-java.md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2"/>
        </w:rPr>
        <w:t>seguridad-checklist.md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 xml:space="preserve">[x] Sin secretos hardcoded (validable con </w:t>
      </w:r>
      <w:r>
        <w:rPr>
          <w:rFonts w:ascii="Calibri" w:hAnsi="Calibri"/>
          <w:sz w:val="22"/>
        </w:rPr>
        <w:t>security-auditor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alibri" w:hAnsi="Calibri"/>
          <w:sz w:val="22"/>
        </w:rPr>
        <w:t>[x] Validación de entrada con allow-list (regex) y tipado fuerte.</w:t>
      </w:r>
    </w:p>
    <w:p>
      <w:pPr>
        <w:pStyle w:val="ListBullet"/>
      </w:pPr>
      <w:r>
        <w:rPr>
          <w:rFonts w:ascii="Calibri" w:hAnsi="Calibri"/>
          <w:sz w:val="22"/>
        </w:rPr>
        <w:t>[x] Manejo de errores sin filtrar detalles internos; logs sin datos sensibles.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Code review con agente </w:t>
      </w:r>
      <w:r>
        <w:rPr>
          <w:rFonts w:ascii="Calibri" w:hAnsi="Calibri"/>
          <w:sz w:val="22"/>
        </w:rPr>
        <w:t>code-reviewer</w:t>
      </w:r>
      <w:r>
        <w:rPr>
          <w:rFonts w:ascii="Calibri" w:hAnsi="Calibri"/>
          <w:sz w:val="22"/>
        </w:rPr>
        <w:t xml:space="preserve"> en cada PR — [PENDIENTE: integrar en flujo].</w:t>
      </w:r>
    </w:p>
    <w:p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código en </w:t>
      </w:r>
      <w:r>
        <w:rPr>
          <w:rFonts w:ascii="Calibri" w:hAnsi="Calibri"/>
          <w:sz w:val="20"/>
        </w:rPr>
        <w:t>comision-variable/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ExceptionMappers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application.properties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8"/>
        </w:rPr>
        <w:t>2.4 Fase de Pruebas</w:t>
      </w:r>
    </w:p>
    <w:p>
      <w:pPr>
        <w:pStyle w:val="ListBullet"/>
      </w:pPr>
      <w:r>
        <w:rPr>
          <w:rFonts w:ascii="Calibri" w:hAnsi="Calibri"/>
          <w:sz w:val="22"/>
        </w:rPr>
        <w:t>[x] Pruebas unitarias con gate de cobertura ≥ 90% (JaCoCo) — ver Matriz de Pruebas.</w:t>
      </w:r>
    </w:p>
    <w:p>
      <w:pPr>
        <w:pStyle w:val="ListBullet"/>
      </w:pPr>
      <w:r>
        <w:rPr>
          <w:rFonts w:ascii="Calibri" w:hAnsi="Calibri"/>
          <w:sz w:val="22"/>
        </w:rPr>
        <w:t xml:space="preserve">[ ] Auditoría con agente </w:t>
      </w:r>
      <w:r>
        <w:rPr>
          <w:rFonts w:ascii="Calibri" w:hAnsi="Calibri"/>
          <w:sz w:val="22"/>
        </w:rPr>
        <w:t>security-auditor</w:t>
      </w:r>
      <w:r>
        <w:rPr>
          <w:rFonts w:ascii="Calibri" w:hAnsi="Calibri"/>
          <w:sz w:val="22"/>
        </w:rPr>
        <w:t xml:space="preserve"> antes de PR a staging — [PENDIENTE].</w:t>
      </w:r>
    </w:p>
    <w:p>
      <w:pPr>
        <w:pStyle w:val="ListBullet"/>
      </w:pPr>
      <w:r>
        <w:rPr>
          <w:rFonts w:ascii="Calibri" w:hAnsi="Calibri"/>
          <w:sz w:val="22"/>
        </w:rPr>
        <w:t>[ ] Análisis SAST (Checkmarx, gestionado por CMS) — [PENDIENTE].</w:t>
      </w:r>
    </w:p>
    <w:p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suite de 45 casos; configuración JaCoCo en </w:t>
      </w:r>
      <w:r>
        <w:rPr>
          <w:rFonts w:ascii="Calibri" w:hAnsi="Calibri"/>
          <w:sz w:val="20"/>
        </w:rPr>
        <w:t>pom.xml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8"/>
        </w:rPr>
        <w:t>2.5 Fase de Liberación</w:t>
      </w:r>
    </w:p>
    <w:p>
      <w:pPr>
        <w:pStyle w:val="ListBullet"/>
      </w:pPr>
      <w:r>
        <w:rPr>
          <w:rFonts w:ascii="Calibri" w:hAnsi="Calibri"/>
          <w:sz w:val="22"/>
        </w:rPr>
        <w:t>[x] Runbook generado (ver Runbook §4–6).</w:t>
      </w:r>
    </w:p>
    <w:p>
      <w:pPr>
        <w:pStyle w:val="ListBullet"/>
      </w:pPr>
      <w:r>
        <w:rPr>
          <w:rFonts w:ascii="Calibri" w:hAnsi="Calibri"/>
          <w:sz w:val="22"/>
        </w:rPr>
        <w:t>[ ] Variables de ambiente verificadas en Conjur — [PENDIENTE: ambiente].</w:t>
      </w:r>
    </w:p>
    <w:p>
      <w:pPr>
        <w:pStyle w:val="ListBullet"/>
      </w:pPr>
      <w:r>
        <w:rPr>
          <w:rFonts w:ascii="Calibri" w:hAnsi="Calibri"/>
          <w:sz w:val="22"/>
        </w:rPr>
        <w:t>[ ] Monitoreo y alertas configuradas en Datadog — [PENDIENTE].</w:t>
      </w:r>
    </w:p>
    <w:p>
      <w:pPr>
        <w:pStyle w:val="ListBullet"/>
      </w:pPr>
      <w:r>
        <w:rPr>
          <w:rFonts w:ascii="Calibri" w:hAnsi="Calibri"/>
          <w:sz w:val="22"/>
        </w:rPr>
        <w:t>[x] Plan de rollback documentado (Runbook §6.3).</w:t>
      </w:r>
    </w:p>
    <w:p>
      <w:pPr>
        <w:pStyle w:val="Heading3"/>
      </w:pPr>
      <w:r>
        <w:rPr>
          <w:rFonts w:ascii="Calibri" w:hAnsi="Calibri"/>
          <w:b/>
          <w:sz w:val="28"/>
        </w:rPr>
        <w:t>2.6 Fase de Operación</w:t>
      </w:r>
    </w:p>
    <w:p>
      <w:pPr>
        <w:pStyle w:val="ListBullet"/>
      </w:pPr>
      <w:r>
        <w:rPr>
          <w:rFonts w:ascii="Calibri" w:hAnsi="Calibri"/>
          <w:sz w:val="22"/>
        </w:rPr>
        <w:t>[ ] Revisión periódica de logs (semanal) — [PENDIENTE].</w:t>
      </w:r>
    </w:p>
    <w:p>
      <w:pPr>
        <w:pStyle w:val="ListBullet"/>
      </w:pPr>
      <w:r>
        <w:rPr>
          <w:rFonts w:ascii="Calibri" w:hAnsi="Calibri"/>
          <w:sz w:val="22"/>
        </w:rPr>
        <w:t>[ ] Re-auditoría de seguridad post-liberación — [PENDIENTE].</w:t>
      </w:r>
    </w:p>
    <w:p>
      <w:pPr>
        <w:pStyle w:val="ListBullet"/>
      </w:pPr>
      <w:r>
        <w:rPr>
          <w:rFonts w:ascii="Calibri" w:hAnsi="Calibri"/>
          <w:sz w:val="22"/>
        </w:rPr>
        <w:t>[ ] Actualización continua de dependencias con vulnerabilidades — [PENDIENTE].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3. Hallazgos de auditoría</w:t>
      </w:r>
    </w:p>
    <w:p>
      <w:r>
        <w:rPr>
          <w:rFonts w:ascii="Calibri" w:hAnsi="Calibri"/>
          <w:sz w:val="22"/>
        </w:rPr>
        <w:t xml:space="preserve">[PENDIENTE: ejecutar </w:t>
      </w:r>
      <w:r>
        <w:rPr>
          <w:rFonts w:ascii="Calibri" w:hAnsi="Calibri"/>
          <w:sz w:val="20"/>
        </w:rPr>
        <w:t>security-auditor</w:t>
      </w:r>
      <w:r>
        <w:rPr>
          <w:rFonts w:ascii="Calibri" w:hAnsi="Calibri"/>
          <w:sz w:val="22"/>
        </w:rPr>
        <w:t>]. Sin hallazgos formales registrados en esta versión.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4. Acciones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Acción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Severidad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Responsable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 objetivo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Habilitar WAF/rate limit perimetral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Integrar SAST (Checkmarx) en pipeline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Configurar alertas en Datadog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5.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Firma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Líder Técnico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Líder de Proyecto TI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Responsable de Seguridad TI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sz w:val="22"/>
        </w:rPr>
        <w:t>&lt;!-- fin 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1984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07999" cy="42739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emsa_comerci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4273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2"/>
            </w:rPr>
            <w:t>Sistema de Trabajo TI</w:t>
            <w:br/>
          </w:r>
          <w:r>
            <w:rPr>
              <w:rFonts w:ascii="Calibri" w:hAnsi="Calibri"/>
              <w:b/>
              <w:sz w:val="26"/>
            </w:rPr>
            <w:t>Principios de Seguridad</w:t>
          </w:r>
        </w:p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CÓDIGO:</w:t>
            <w:br/>
            <w:t>FCTI_CNF_PrincipiosSeguridad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REVISIÓN 1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