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after="240"/>
        <w:jc w:val="center"/>
      </w:pPr>
      <w:r>
        <w:rPr>
          <w:b/>
          <w:color w:val="1F4E79"/>
          <w:sz w:val="44"/>
        </w:rPr>
        <w:t>Integración de Keycloak como autenticador de aplicaciones</w:t>
      </w:r>
    </w:p>
    <w:p>
      <w:pPr>
        <w:spacing w:after="200"/>
        <w:jc w:val="center"/>
      </w:pPr>
      <w:r>
        <w:rPr>
          <w:b w:val="0"/>
          <w:color w:val="2E75B6"/>
          <w:sz w:val="28"/>
        </w:rPr>
        <w:t>Evaluación de 3 opciones de arquitectura — Microservicio SPIN Comisión Variable</w:t>
      </w:r>
    </w:p>
    <w:p>
      <w:pPr>
        <w:spacing w:after="120"/>
        <w:jc w:val="center"/>
      </w:pPr>
      <w:r>
        <w:rPr>
          <w:b w:val="0"/>
          <w:sz w:val="22"/>
        </w:rPr>
        <w:t>Documento para revisión con el área de Infraestructura</w:t>
      </w:r>
    </w:p>
    <w:p>
      <w:pPr>
        <w:spacing w:after="120"/>
        <w:jc w:val="center"/>
      </w:pPr>
      <w:r>
        <w:rPr>
          <w:b w:val="0"/>
          <w:color w:val="555555"/>
          <w:sz w:val="20"/>
        </w:rPr>
        <w:t>Versión 0.1 — 9 de junio de 2026 — Roberto Castillo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120"/>
      </w:pPr>
      <w:r>
        <w:rPr>
          <w:b w:val="0"/>
        </w:rPr>
        <w:t>Se requiere incorporar una instancia nueva de Keycloak como autenticador de aplicaciones (machine-to-machine) para el microservicio central de consulta de Comisión Variable, consumido por el punto de venta XPOS a través de una Virtual IP del F5 con autenticación OAuth 2.0. Este documento presenta tres opciones de ubicación para esa instancia y los criterios para decidir junto con Infraestructura.</w:t>
      </w:r>
    </w:p>
    <w:p>
      <w:pPr>
        <w:pStyle w:val="ListBullet"/>
        <w:spacing w:after="60"/>
      </w:pPr>
      <w:r>
        <w:rPr>
          <w:b/>
        </w:rPr>
        <w:t xml:space="preserve">Opción A — Keycloak dentro del cluster OpenShift ROSA: </w:t>
      </w:r>
      <w:r>
        <w:rPr>
          <w:b w:val="0"/>
        </w:rPr>
        <w:t>Red Hat build of Keycloak (RHBK 26.6) desplegado vía Operator en un namespace dedicado del mismo cluster donde corre el microservicio.</w:t>
      </w:r>
    </w:p>
    <w:p>
      <w:pPr>
        <w:pStyle w:val="ListBullet"/>
        <w:spacing w:after="60"/>
      </w:pPr>
      <w:r>
        <w:rPr>
          <w:b/>
        </w:rPr>
        <w:t xml:space="preserve">Opción B — Keycloak en infraestructura dedicada: </w:t>
      </w:r>
      <w:r>
        <w:rPr>
          <w:b w:val="0"/>
        </w:rPr>
        <w:t>plataforma IAM independiente (cluster o VMs aparte) detrás del mismo F5, pensada como servicio transversal para más aplicaciones.</w:t>
      </w:r>
    </w:p>
    <w:p>
      <w:pPr>
        <w:pStyle w:val="ListBullet"/>
        <w:spacing w:after="60"/>
      </w:pPr>
      <w:r>
        <w:rPr>
          <w:b/>
        </w:rPr>
        <w:t xml:space="preserve">Opción C — Servicio gestionado (Amazon Cognito): </w:t>
      </w:r>
      <w:r>
        <w:rPr>
          <w:b w:val="0"/>
        </w:rPr>
        <w:t>delegar la emisión de tokens a un IdP administrado por AWS; no es Keycloak, se incluye como alternativa de menor operación.</w:t>
      </w:r>
    </w:p>
    <w:p>
      <w:pPr>
        <w:spacing w:after="120"/>
      </w:pPr>
      <w:r>
        <w:rPr>
          <w:b/>
        </w:rPr>
        <w:t xml:space="preserve">Recomendación preliminar: </w:t>
      </w:r>
      <w:r>
        <w:rPr>
          <w:b w:val="0"/>
        </w:rPr>
        <w:t>Opción A para el piloto (menor costo y time-to-market, sin infraestructura nueva), con la Opción B como destino si IAM se convierte en servicio corporativo para más aplicaciones. La Opción C sólo aplica si Infraestructura decide no operar Keycloak y se acepta cambiar el requisito.</w:t>
      </w:r>
    </w:p>
    <w:p>
      <w:pPr>
        <w:pStyle w:val="Heading1"/>
      </w:pPr>
      <w:r>
        <w:t>2. Contexto: arquitectura actual de la solución</w:t>
      </w:r>
    </w:p>
    <w:p>
      <w:pPr>
        <w:spacing w:after="120"/>
      </w:pPr>
      <w:r>
        <w:rPr>
          <w:b w:val="0"/>
        </w:rPr>
        <w:t>El flujo actual (piloto) es el siguiente: XPOS obtiene un token por client_credentials (realm “applications”), invoca la VIP del F5 con el JWT, el F5 balancea hacia la Route de OpenShift y el microservicio Quarkus valida el token localmente (JWKS cacheado), persiste el evento en RDS PostgreSQL, consume el API externo de SPIN con tolerancia a fallas (Retry/CircuitBreaker/Timeout) y actualiza la bitácora antes de responder.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806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_contex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0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1. Flujo end-to-end actual. La ubicación de Keycloak (rojo) es la decisión a tomar.</w:t>
      </w:r>
    </w:p>
    <w:p>
      <w:pPr>
        <w:spacing w:after="120"/>
      </w:pPr>
      <w:r>
        <w:rPr>
          <w:b/>
        </w:rPr>
        <w:t xml:space="preserve">Punto técnico clave para Infraestructura: </w:t>
      </w:r>
      <w:r>
        <w:rPr>
          <w:b w:val="0"/>
        </w:rPr>
        <w:t>Keycloak NO está en la ruta crítica de cada petición. El microservicio valida la firma del JWT con las llaves públicas (JWKS) que cachea, y XPOS reutiliza el token hasta su expiración. Una indisponibilidad temporal de Keycloak no detiene las consultas en curso; sólo impide emitir tokens nuevos. Esto alinea con el principio offline-first de XPOS.</w:t>
      </w:r>
    </w:p>
    <w:p>
      <w:r>
        <w:br w:type="page"/>
      </w:r>
    </w:p>
    <w:p>
      <w:pPr>
        <w:pStyle w:val="Heading1"/>
      </w:pPr>
      <w:r>
        <w:t>3. Opción A — Keycloak dentro del cluster ROSA (RHBK + Operator)</w:t>
      </w:r>
    </w:p>
    <w:p>
      <w:pPr>
        <w:spacing w:after="120"/>
      </w:pPr>
      <w:r>
        <w:rPr>
          <w:b w:val="0"/>
        </w:rPr>
        <w:t>Se despliega Red Hat build of Keycloak 26.6 mediante su Operator en un namespace dedicado (ej. “iam”) del mismo cluster ROSA, con 2+ réplicas en alta disponibilidad (caché distribuido Infinispan) y su base de datos en la instancia RDS PostgreSQL existente (base de datos separada “keycloak”). Se expone con una Route propia y el F5 agrega un pool/virtual server para el tráfico de autenticación.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11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_ros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2. Opción A: RHBK en el mismo cluster, namespaces separados.</w:t>
      </w:r>
    </w:p>
    <w:p>
      <w:pPr>
        <w:pStyle w:val="Heading2"/>
      </w:pPr>
      <w:r>
        <w:t>Ventajas</w:t>
      </w:r>
    </w:p>
    <w:p>
      <w:pPr>
        <w:pStyle w:val="ListBullet"/>
        <w:spacing w:after="60"/>
      </w:pPr>
      <w:r>
        <w:rPr>
          <w:b w:val="0"/>
        </w:rPr>
        <w:t>Sin infraestructura nueva: reutiliza cluster, RDS, pipeline de despliegue y monitoreo (Datadog) existentes.</w:t>
      </w:r>
    </w:p>
    <w:p>
      <w:pPr>
        <w:pStyle w:val="ListBullet"/>
        <w:spacing w:after="60"/>
      </w:pPr>
      <w:r>
        <w:rPr>
          <w:b w:val="0"/>
        </w:rPr>
        <w:t>Time-to-market corto: Operator + Route + pool en F5; el microservicio ya está configurado vía quarkus-oidc (sólo cambia KEYCLOAK_URL).</w:t>
      </w:r>
    </w:p>
    <w:p>
      <w:pPr>
        <w:pStyle w:val="ListBullet"/>
        <w:spacing w:after="60"/>
      </w:pPr>
      <w:r>
        <w:rPr>
          <w:b w:val="0"/>
        </w:rPr>
        <w:t>Validación JWKS por red interna del cluster (Service), sin salir al F5.</w:t>
      </w:r>
    </w:p>
    <w:p>
      <w:pPr>
        <w:pStyle w:val="ListBullet"/>
        <w:spacing w:after="60"/>
      </w:pPr>
      <w:r>
        <w:rPr>
          <w:b w:val="0"/>
        </w:rPr>
        <w:t>Soporte empresarial Red Hat (RHBK) y upgrades gestionados por el Operator.</w:t>
      </w:r>
    </w:p>
    <w:p>
      <w:pPr>
        <w:pStyle w:val="Heading2"/>
      </w:pPr>
      <w:r>
        <w:t>Desventajas y riesgos</w:t>
      </w:r>
    </w:p>
    <w:p>
      <w:pPr>
        <w:pStyle w:val="ListBullet"/>
        <w:spacing w:after="60"/>
      </w:pPr>
      <w:r>
        <w:rPr>
          <w:b/>
        </w:rPr>
        <w:t xml:space="preserve">Blast radius: </w:t>
      </w:r>
      <w:r>
        <w:rPr>
          <w:b w:val="0"/>
        </w:rPr>
        <w:t>el IdP comparte ciclo de vida con el cluster; un incidente o upgrade mayor de ROSA afecta a la vez aplicaciones e identidad.</w:t>
      </w:r>
    </w:p>
    <w:p>
      <w:pPr>
        <w:pStyle w:val="ListBullet"/>
        <w:spacing w:after="60"/>
      </w:pPr>
      <w:r>
        <w:rPr>
          <w:b w:val="0"/>
        </w:rPr>
        <w:t>Si otras aplicaciones fuera de OpenShift adoptan este Keycloak, el cluster SPIN se vuelve dependencia transversal no planeada.</w:t>
      </w:r>
    </w:p>
    <w:p>
      <w:pPr>
        <w:pStyle w:val="ListBullet"/>
        <w:spacing w:after="60"/>
      </w:pPr>
      <w:r>
        <w:rPr>
          <w:b w:val="0"/>
        </w:rPr>
        <w:t>Consume cómputo del cluster (dimensionar nodos si crece el número de clients).</w:t>
      </w:r>
    </w:p>
    <w:p>
      <w:pPr>
        <w:pStyle w:val="Heading2"/>
      </w:pPr>
      <w:r>
        <w:t>Impacto en infraestructura</w:t>
      </w:r>
    </w:p>
    <w:p>
      <w:pPr>
        <w:pStyle w:val="ListBullet"/>
        <w:spacing w:after="60"/>
      </w:pPr>
      <w:r>
        <w:rPr>
          <w:b w:val="0"/>
        </w:rPr>
        <w:t>F5: nuevo pool hacia la Route “auth” (misma VIP con política por path/hostname, o VIP separada auth.*).</w:t>
      </w:r>
    </w:p>
    <w:p>
      <w:pPr>
        <w:pStyle w:val="ListBullet"/>
        <w:spacing w:after="60"/>
      </w:pPr>
      <w:r>
        <w:rPr>
          <w:b w:val="0"/>
        </w:rPr>
        <w:t>DNS y certificado para el hostname de autenticación; TLS re-encrypt hasta la Route.</w:t>
      </w:r>
    </w:p>
    <w:p>
      <w:pPr>
        <w:pStyle w:val="ListBullet"/>
        <w:spacing w:after="60"/>
      </w:pPr>
      <w:r>
        <w:rPr>
          <w:b w:val="0"/>
        </w:rPr>
        <w:t>RDS: base de datos adicional “keycloak” en la instancia existente (o instancia pequeña dedicada si se prefiere aislar IOPS).</w:t>
      </w:r>
    </w:p>
    <w:p>
      <w:r>
        <w:br w:type="page"/>
      </w:r>
    </w:p>
    <w:p>
      <w:pPr>
        <w:pStyle w:val="Heading1"/>
      </w:pPr>
      <w:r>
        <w:t>4. Opción B — Keycloak en infraestructura dedicada (plataforma IAM)</w:t>
      </w:r>
    </w:p>
    <w:p>
      <w:pPr>
        <w:spacing w:after="120"/>
      </w:pPr>
      <w:r>
        <w:rPr>
          <w:b w:val="0"/>
        </w:rPr>
        <w:t>Keycloak/RHBK 26.x se instala en infraestructura propia e independiente del cluster de aplicaciones: un cluster OpenShift/Kubernetes pequeño dedicado a IAM, o VMs con el ZIP de RHBK, detrás del mismo F5 y con una RDS PostgreSQL dedicada. Nace como servicio corporativo transversal: el realm “applications” atiende a Comisión Variable hoy y a otros módulos de XPOS o microservicios futuros mañana.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80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dedic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3. Opción B: plataforma IAM independiente, reutilizable por otras aplicaciones.</w:t>
      </w:r>
    </w:p>
    <w:p>
      <w:pPr>
        <w:pStyle w:val="Heading2"/>
      </w:pPr>
      <w:r>
        <w:t>Ventajas</w:t>
      </w:r>
    </w:p>
    <w:p>
      <w:pPr>
        <w:pStyle w:val="ListBullet"/>
        <w:spacing w:after="60"/>
      </w:pPr>
      <w:r>
        <w:rPr>
          <w:b w:val="0"/>
        </w:rPr>
        <w:t>Aislamiento total de fallas y de ciclo de vida: parches y upgrades de IAM no tocan el cluster de aplicaciones, y viceversa.</w:t>
      </w:r>
    </w:p>
    <w:p>
      <w:pPr>
        <w:pStyle w:val="ListBullet"/>
        <w:spacing w:after="60"/>
      </w:pPr>
      <w:r>
        <w:rPr>
          <w:b w:val="0"/>
        </w:rPr>
        <w:t>Posición correcta para un IdP corporativo: gobernanza, auditoría y escalamiento independientes; evita repetir la decisión por cada proyecto.</w:t>
      </w:r>
    </w:p>
    <w:p>
      <w:pPr>
        <w:pStyle w:val="ListBullet"/>
        <w:spacing w:after="60"/>
      </w:pPr>
      <w:r>
        <w:rPr>
          <w:b w:val="0"/>
        </w:rPr>
        <w:t>Misma flexibilidad completa de Keycloak (realms, mappers, federación LDAP/AD, políticas de token).</w:t>
      </w:r>
    </w:p>
    <w:p>
      <w:pPr>
        <w:pStyle w:val="Heading2"/>
      </w:pPr>
      <w:r>
        <w:t>Desventajas y riesgos</w:t>
      </w:r>
    </w:p>
    <w:p>
      <w:pPr>
        <w:pStyle w:val="ListBullet"/>
        <w:spacing w:after="60"/>
      </w:pPr>
      <w:r>
        <w:rPr>
          <w:b w:val="0"/>
        </w:rPr>
        <w:t>Mayor costo: cómputo dedicado, RDS adicional, y una plataforma más que operar, respaldar, monitorear y parchar.</w:t>
      </w:r>
    </w:p>
    <w:p>
      <w:pPr>
        <w:pStyle w:val="ListBullet"/>
        <w:spacing w:after="60"/>
      </w:pPr>
      <w:r>
        <w:rPr>
          <w:b w:val="0"/>
        </w:rPr>
        <w:t>Time-to-market largo: aprovisionamiento, hardening, HA y DR antes de dar servicio.</w:t>
      </w:r>
    </w:p>
    <w:p>
      <w:pPr>
        <w:pStyle w:val="ListBullet"/>
        <w:spacing w:after="60"/>
      </w:pPr>
      <w:r>
        <w:rPr>
          <w:b w:val="0"/>
        </w:rPr>
        <w:t>Sobredimensionado si el alcance se queda en un solo microservicio piloto.</w:t>
      </w:r>
    </w:p>
    <w:p>
      <w:pPr>
        <w:pStyle w:val="Heading2"/>
      </w:pPr>
      <w:r>
        <w:t>Impacto en infraestructura</w:t>
      </w:r>
    </w:p>
    <w:p>
      <w:pPr>
        <w:pStyle w:val="ListBullet"/>
        <w:spacing w:after="60"/>
      </w:pPr>
      <w:r>
        <w:rPr>
          <w:b w:val="0"/>
        </w:rPr>
        <w:t>Aprovisionar cómputo (cluster pequeño o 2+ VMs), RDS dedicada, balanceo F5, DNS, certificados, respaldos y monitoreo.</w:t>
      </w:r>
    </w:p>
    <w:p>
      <w:pPr>
        <w:pStyle w:val="ListBullet"/>
        <w:spacing w:after="60"/>
      </w:pPr>
      <w:r>
        <w:rPr>
          <w:b w:val="0"/>
        </w:rPr>
        <w:t>Definir propiedad y operación: ¿qué equipo administra la plataforma IAM?</w:t>
      </w:r>
    </w:p>
    <w:p>
      <w:r>
        <w:br w:type="page"/>
      </w:r>
    </w:p>
    <w:p>
      <w:pPr>
        <w:pStyle w:val="Heading1"/>
      </w:pPr>
      <w:r>
        <w:t>5. Opción C — Servicio gestionado: Amazon Cognito</w:t>
      </w:r>
    </w:p>
    <w:p>
      <w:pPr>
        <w:spacing w:after="120"/>
      </w:pPr>
      <w:r>
        <w:rPr>
          <w:b w:val="0"/>
        </w:rPr>
        <w:t>En lugar de operar Keycloak, XPOS obtendría tokens de un User Pool de Amazon Cognito con app clients machine-to-machine (client_credentials). El microservicio sólo cambia su configuración OIDC para apuntar al issuer de Cognito; el resto del flujo por F5 no cambia. Es la opción de menor operación, pero NO cumple literalmente el requisito de “instancia nueva de Keycloak”.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369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_gestion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6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4. Opción C: IdP gestionado por AWS (Cognito); no es Keycloak.</w:t>
      </w:r>
    </w:p>
    <w:p>
      <w:pPr>
        <w:pStyle w:val="Heading2"/>
      </w:pPr>
      <w:r>
        <w:t>Ventajas</w:t>
      </w:r>
    </w:p>
    <w:p>
      <w:pPr>
        <w:pStyle w:val="ListBullet"/>
        <w:spacing w:after="60"/>
      </w:pPr>
      <w:r>
        <w:rPr>
          <w:b w:val="0"/>
        </w:rPr>
        <w:t>Cero operación de IdP: AWS gestiona disponibilidad, parches y escalamiento, con SLA.</w:t>
      </w:r>
    </w:p>
    <w:p>
      <w:pPr>
        <w:pStyle w:val="ListBullet"/>
        <w:spacing w:after="60"/>
      </w:pPr>
      <w:r>
        <w:rPr>
          <w:b w:val="0"/>
        </w:rPr>
        <w:t>Time-to-market corto y sin infraestructura nueva.</w:t>
      </w:r>
    </w:p>
    <w:p>
      <w:pPr>
        <w:pStyle w:val="ListBullet"/>
        <w:spacing w:after="60"/>
      </w:pPr>
      <w:r>
        <w:rPr>
          <w:b w:val="0"/>
        </w:rPr>
        <w:t>OIDC estándar: quarkus-oidc lo consume sin cambios de código.</w:t>
      </w:r>
    </w:p>
    <w:p>
      <w:pPr>
        <w:pStyle w:val="Heading2"/>
      </w:pPr>
      <w:r>
        <w:t>Desventajas y riesgos</w:t>
      </w:r>
    </w:p>
    <w:p>
      <w:pPr>
        <w:pStyle w:val="ListBullet"/>
        <w:spacing w:after="60"/>
      </w:pPr>
      <w:r>
        <w:rPr>
          <w:b/>
        </w:rPr>
        <w:t xml:space="preserve">No es Keycloak: </w:t>
      </w:r>
      <w:r>
        <w:rPr>
          <w:b w:val="0"/>
        </w:rPr>
        <w:t>incumple el requisito planteado; menor flexibilidad en claims personalizados, mappers, federación y multi-realm.</w:t>
      </w:r>
    </w:p>
    <w:p>
      <w:pPr>
        <w:pStyle w:val="ListBullet"/>
        <w:spacing w:after="60"/>
      </w:pPr>
      <w:r>
        <w:rPr>
          <w:b w:val="0"/>
        </w:rPr>
        <w:t>Lock-in con AWS: si la estrategia multi-nube (ARO/Azure) sigue abierta, ata la identidad a AWS.</w:t>
      </w:r>
    </w:p>
    <w:p>
      <w:pPr>
        <w:pStyle w:val="ListBullet"/>
        <w:spacing w:after="60"/>
      </w:pPr>
      <w:r>
        <w:rPr>
          <w:b w:val="0"/>
        </w:rPr>
        <w:t>Costos por app client M2M y por volumen; gobernanza de tokens más limitada que en Keycloak.</w:t>
      </w:r>
    </w:p>
    <w:p>
      <w:pPr>
        <w:pStyle w:val="ListBullet"/>
        <w:spacing w:after="60"/>
      </w:pPr>
      <w:r>
        <w:rPr>
          <w:b w:val="0"/>
        </w:rPr>
        <w:t>Migrar después a Keycloak implica re-emitir credenciales a todas las cajas XPOS.</w:t>
      </w:r>
    </w:p>
    <w:p>
      <w:pPr>
        <w:pStyle w:val="Heading2"/>
      </w:pPr>
      <w:r>
        <w:t>Impacto en infraestructura</w:t>
      </w:r>
    </w:p>
    <w:p>
      <w:pPr>
        <w:pStyle w:val="ListBullet"/>
        <w:spacing w:after="60"/>
      </w:pPr>
      <w:r>
        <w:rPr>
          <w:b w:val="0"/>
        </w:rPr>
        <w:t>Salida de red de tiendas hacia el endpoint público de Cognito (o publicarlo vía F5/proxy).</w:t>
      </w:r>
    </w:p>
    <w:p>
      <w:pPr>
        <w:pStyle w:val="ListBullet"/>
        <w:spacing w:after="60"/>
      </w:pPr>
      <w:r>
        <w:rPr>
          <w:b w:val="0"/>
        </w:rPr>
        <w:t>Gestión de credenciales de app clients en CyberArk Conjur, igual que hoy.</w:t>
      </w:r>
    </w:p>
    <w:p>
      <w:r>
        <w:br w:type="page"/>
      </w:r>
    </w:p>
    <w:p>
      <w:pPr>
        <w:pStyle w:val="Heading1"/>
      </w:pPr>
      <w:r>
        <w:t>6. Matriz comparativa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23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 — Keycloak en ROSA</w:t>
            </w:r>
          </w:p>
        </w:tc>
        <w:tc>
          <w:tcPr>
            <w:tcW w:type="dxa" w:w="223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 — Infra dedicada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 — Gestionado (Cognito)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8"/>
              </w:rPr>
              <w:t>Cumple requisito “instancia nueva de Keycloak”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Sí (RHBK 26.6 vía Operator)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Sí (Keycloak/RHBK 26.x)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— es Cognito, no Keycloak</w:t>
            </w:r>
          </w:p>
        </w:tc>
      </w:tr>
      <w:tr>
        <w:tc>
          <w:tcPr>
            <w:tcW w:type="dxa" w:w="2736"/>
            <w:shd w:val="clear" w:color="auto" w:fill="EEF3F8"/>
          </w:tcPr>
          <w:p>
            <w:r>
              <w:rPr>
                <w:b/>
                <w:sz w:val="18"/>
              </w:rPr>
              <w:t>Infraestructura nueva requerida</w:t>
            </w:r>
          </w:p>
        </w:tc>
        <w:tc>
          <w:tcPr>
            <w:tcW w:type="dxa" w:w="2232"/>
            <w:shd w:val="clear" w:color="auto" w:fill="EEF3F8"/>
          </w:tcPr>
          <w:p>
            <w:r>
              <w:rPr>
                <w:sz w:val="18"/>
              </w:rPr>
              <w:t>Ninguna (usa el cluster actual)</w:t>
            </w:r>
          </w:p>
        </w:tc>
        <w:tc>
          <w:tcPr>
            <w:tcW w:type="dxa" w:w="2232"/>
            <w:shd w:val="clear" w:color="auto" w:fill="EEF3F8"/>
          </w:tcPr>
          <w:p>
            <w:r>
              <w:rPr>
                <w:sz w:val="18"/>
              </w:rPr>
              <w:t>Cluster/VMs + RDS dedicada</w:t>
            </w:r>
          </w:p>
        </w:tc>
        <w:tc>
          <w:tcPr>
            <w:tcW w:type="dxa" w:w="2160"/>
            <w:shd w:val="clear" w:color="auto" w:fill="EEF3F8"/>
          </w:tcPr>
          <w:p>
            <w:r>
              <w:rPr>
                <w:sz w:val="18"/>
              </w:rPr>
              <w:t>Ninguna (servicio AWS)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8"/>
              </w:rPr>
              <w:t>Costo de infraestructura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Bajo (recursos del cluster)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Alto (cómputo + BD + operación)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Bajo-medio (por app client M2M y volumen)</w:t>
            </w:r>
          </w:p>
        </w:tc>
      </w:tr>
      <w:tr>
        <w:tc>
          <w:tcPr>
            <w:tcW w:type="dxa" w:w="2736"/>
            <w:shd w:val="clear" w:color="auto" w:fill="EEF3F8"/>
          </w:tcPr>
          <w:p>
            <w:r>
              <w:rPr>
                <w:b/>
                <w:sz w:val="18"/>
              </w:rPr>
              <w:t>Esfuerzo de operación</w:t>
            </w:r>
          </w:p>
        </w:tc>
        <w:tc>
          <w:tcPr>
            <w:tcW w:type="dxa" w:w="2232"/>
            <w:shd w:val="clear" w:color="auto" w:fill="EEF3F8"/>
          </w:tcPr>
          <w:p>
            <w:r>
              <w:rPr>
                <w:sz w:val="18"/>
              </w:rPr>
              <w:t>Medio (mismo equipo OpenShift)</w:t>
            </w:r>
          </w:p>
        </w:tc>
        <w:tc>
          <w:tcPr>
            <w:tcW w:type="dxa" w:w="2232"/>
            <w:shd w:val="clear" w:color="auto" w:fill="EEF3F8"/>
          </w:tcPr>
          <w:p>
            <w:r>
              <w:rPr>
                <w:sz w:val="18"/>
              </w:rPr>
              <w:t>Alto (plataforma nueva que operar)</w:t>
            </w:r>
          </w:p>
        </w:tc>
        <w:tc>
          <w:tcPr>
            <w:tcW w:type="dxa" w:w="2160"/>
            <w:shd w:val="clear" w:color="auto" w:fill="EEF3F8"/>
          </w:tcPr>
          <w:p>
            <w:r>
              <w:rPr>
                <w:sz w:val="18"/>
              </w:rPr>
              <w:t>Mínimo (AWS opera)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8"/>
              </w:rPr>
              <w:t>Time-to-market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Corto (días)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Largo (semanas/meses)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Corto (días)</w:t>
            </w:r>
          </w:p>
        </w:tc>
      </w:tr>
      <w:tr>
        <w:tc>
          <w:tcPr>
            <w:tcW w:type="dxa" w:w="2736"/>
            <w:shd w:val="clear" w:color="auto" w:fill="EEF3F8"/>
          </w:tcPr>
          <w:p>
            <w:r>
              <w:rPr>
                <w:b/>
                <w:sz w:val="18"/>
              </w:rPr>
              <w:t>Aislamiento de fallas (IdP vs apps)</w:t>
            </w:r>
          </w:p>
        </w:tc>
        <w:tc>
          <w:tcPr>
            <w:tcW w:type="dxa" w:w="2232"/>
            <w:shd w:val="clear" w:color="auto" w:fill="EEF3F8"/>
          </w:tcPr>
          <w:p>
            <w:r>
              <w:rPr>
                <w:sz w:val="18"/>
              </w:rPr>
              <w:t>Bajo: comparten cluster</w:t>
            </w:r>
          </w:p>
        </w:tc>
        <w:tc>
          <w:tcPr>
            <w:tcW w:type="dxa" w:w="2232"/>
            <w:shd w:val="clear" w:color="auto" w:fill="EEF3F8"/>
          </w:tcPr>
          <w:p>
            <w:r>
              <w:rPr>
                <w:sz w:val="18"/>
              </w:rPr>
              <w:t>Alto: ciclos de vida independientes</w:t>
            </w:r>
          </w:p>
        </w:tc>
        <w:tc>
          <w:tcPr>
            <w:tcW w:type="dxa" w:w="2160"/>
            <w:shd w:val="clear" w:color="auto" w:fill="EEF3F8"/>
          </w:tcPr>
          <w:p>
            <w:r>
              <w:rPr>
                <w:sz w:val="18"/>
              </w:rPr>
              <w:t>Alto: SLA de AWS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8"/>
              </w:rPr>
              <w:t>Reutilización corporativa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Media: atado al cluster SPIN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Alta: IAM transversal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Media: OIDC estándar, pero AWS</w:t>
            </w:r>
          </w:p>
        </w:tc>
      </w:tr>
      <w:tr>
        <w:tc>
          <w:tcPr>
            <w:tcW w:type="dxa" w:w="2736"/>
            <w:shd w:val="clear" w:color="auto" w:fill="EEF3F8"/>
          </w:tcPr>
          <w:p>
            <w:r>
              <w:rPr>
                <w:b/>
                <w:sz w:val="18"/>
              </w:rPr>
              <w:t>Impacto en F5</w:t>
            </w:r>
          </w:p>
        </w:tc>
        <w:tc>
          <w:tcPr>
            <w:tcW w:type="dxa" w:w="2232"/>
            <w:shd w:val="clear" w:color="auto" w:fill="EEF3F8"/>
          </w:tcPr>
          <w:p>
            <w:r>
              <w:rPr>
                <w:sz w:val="18"/>
              </w:rPr>
              <w:t>Nuevo pool/VS hacia Route auth</w:t>
            </w:r>
          </w:p>
        </w:tc>
        <w:tc>
          <w:tcPr>
            <w:tcW w:type="dxa" w:w="2232"/>
            <w:shd w:val="clear" w:color="auto" w:fill="EEF3F8"/>
          </w:tcPr>
          <w:p>
            <w:r>
              <w:rPr>
                <w:sz w:val="18"/>
              </w:rPr>
              <w:t>Nuevo pool/VS hacia nodos IAM</w:t>
            </w:r>
          </w:p>
        </w:tc>
        <w:tc>
          <w:tcPr>
            <w:tcW w:type="dxa" w:w="2160"/>
            <w:shd w:val="clear" w:color="auto" w:fill="EEF3F8"/>
          </w:tcPr>
          <w:p>
            <w:r>
              <w:rPr>
                <w:sz w:val="18"/>
              </w:rPr>
              <w:t>Opcional (endpoint Cognito directo)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8"/>
              </w:rPr>
              <w:t>Flexibilidad (realms, mappers, federación)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Total (Keycloak completo)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Total (Keycloak completo)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Limitada</w:t>
            </w:r>
          </w:p>
        </w:tc>
      </w:tr>
      <w:tr>
        <w:tc>
          <w:tcPr>
            <w:tcW w:type="dxa" w:w="2736"/>
            <w:shd w:val="clear" w:color="auto" w:fill="EEF3F8"/>
          </w:tcPr>
          <w:p>
            <w:r>
              <w:rPr>
                <w:b/>
                <w:sz w:val="18"/>
              </w:rPr>
              <w:t>Lock-in</w:t>
            </w:r>
          </w:p>
        </w:tc>
        <w:tc>
          <w:tcPr>
            <w:tcW w:type="dxa" w:w="2232"/>
            <w:shd w:val="clear" w:color="auto" w:fill="EEF3F8"/>
          </w:tcPr>
          <w:p>
            <w:r>
              <w:rPr>
                <w:sz w:val="18"/>
              </w:rPr>
              <w:t>Bajo (open source / RHBK)</w:t>
            </w:r>
          </w:p>
        </w:tc>
        <w:tc>
          <w:tcPr>
            <w:tcW w:type="dxa" w:w="2232"/>
            <w:shd w:val="clear" w:color="auto" w:fill="EEF3F8"/>
          </w:tcPr>
          <w:p>
            <w:r>
              <w:rPr>
                <w:sz w:val="18"/>
              </w:rPr>
              <w:t>Bajo</w:t>
            </w:r>
          </w:p>
        </w:tc>
        <w:tc>
          <w:tcPr>
            <w:tcW w:type="dxa" w:w="2160"/>
            <w:shd w:val="clear" w:color="auto" w:fill="EEF3F8"/>
          </w:tcPr>
          <w:p>
            <w:r>
              <w:rPr>
                <w:sz w:val="18"/>
              </w:rPr>
              <w:t>Alto (propietario AWS)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8"/>
              </w:rPr>
              <w:t>Soporte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Red Hat (suscripción RHBK)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Red Hat o comunidad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AWS Support</w:t>
            </w:r>
          </w:p>
        </w:tc>
      </w:tr>
      <w:tr>
        <w:tc>
          <w:tcPr>
            <w:tcW w:type="dxa" w:w="2736"/>
            <w:shd w:val="clear" w:color="auto" w:fill="EEF3F8"/>
          </w:tcPr>
          <w:p>
            <w:r>
              <w:rPr>
                <w:b/>
                <w:sz w:val="18"/>
              </w:rPr>
              <w:t>Riesgo principal</w:t>
            </w:r>
          </w:p>
        </w:tc>
        <w:tc>
          <w:tcPr>
            <w:tcW w:type="dxa" w:w="2232"/>
            <w:shd w:val="clear" w:color="auto" w:fill="EEF3F8"/>
          </w:tcPr>
          <w:p>
            <w:r>
              <w:rPr>
                <w:sz w:val="18"/>
              </w:rPr>
              <w:t>Blast radius: cluster caído tumba apps e IdP</w:t>
            </w:r>
          </w:p>
        </w:tc>
        <w:tc>
          <w:tcPr>
            <w:tcW w:type="dxa" w:w="2232"/>
            <w:shd w:val="clear" w:color="auto" w:fill="EEF3F8"/>
          </w:tcPr>
          <w:p>
            <w:r>
              <w:rPr>
                <w:sz w:val="18"/>
              </w:rPr>
              <w:t>Costo y tiempo; otro sistema que parchar</w:t>
            </w:r>
          </w:p>
        </w:tc>
        <w:tc>
          <w:tcPr>
            <w:tcW w:type="dxa" w:w="2160"/>
            <w:shd w:val="clear" w:color="auto" w:fill="EEF3F8"/>
          </w:tcPr>
          <w:p>
            <w:r>
              <w:rPr>
                <w:sz w:val="18"/>
              </w:rPr>
              <w:t>Incumple requisito; migración futura costosa</w:t>
            </w:r>
          </w:p>
        </w:tc>
      </w:tr>
    </w:tbl>
    <w:p>
      <w:pPr>
        <w:spacing w:after="240"/>
      </w:pPr>
    </w:p>
    <w:p>
      <w:pPr>
        <w:pStyle w:val="Heading1"/>
      </w:pPr>
      <w:r>
        <w:t>7. Recomendación y ruta sugerida</w:t>
      </w:r>
    </w:p>
    <w:p>
      <w:pPr>
        <w:spacing w:after="120"/>
      </w:pPr>
      <w:r>
        <w:rPr>
          <w:b/>
        </w:rPr>
        <w:t xml:space="preserve">Corto plazo (piloto): Opción A. </w:t>
      </w:r>
      <w:r>
        <w:rPr>
          <w:b w:val="0"/>
        </w:rPr>
        <w:t>Cumple el requisito de Keycloak, no requiere infraestructura nueva, y el riesgo de blast radius es aceptable mientras el único consumidor es Comisión Variable. La configuración del realm (clients, roles, políticas de token) es 100% portable a la Opción B mediante export/import del realm.</w:t>
      </w:r>
    </w:p>
    <w:p>
      <w:pPr>
        <w:spacing w:after="120"/>
      </w:pPr>
      <w:r>
        <w:rPr>
          <w:b/>
        </w:rPr>
        <w:t xml:space="preserve">Mediano plazo: </w:t>
      </w:r>
      <w:r>
        <w:rPr>
          <w:b w:val="0"/>
        </w:rPr>
        <w:t>si IAM se adopta como servicio corporativo para más aplicaciones (otros módulos XPOS, nuevos microservicios), migrar la instancia a la Opción B. La transición es de bajo riesgo: mismo realm exportado, mismo hostname en F5 apuntando al nuevo pool, y los tokens en circulación siguen siendo válidos hasta su expiración si se migran las llaves del realm.</w:t>
      </w:r>
    </w:p>
    <w:p>
      <w:pPr>
        <w:spacing w:after="120"/>
      </w:pPr>
      <w:r>
        <w:rPr>
          <w:b/>
        </w:rPr>
        <w:t xml:space="preserve">Opción C </w:t>
      </w:r>
      <w:r>
        <w:rPr>
          <w:b w:val="0"/>
        </w:rPr>
        <w:t>sólo si Infraestructura decide explícitamente no operar ningún IdP y el área usuaria acepta sustituir el requisito de Keycloak, asumiendo el lock-in con AWS.</w:t>
      </w:r>
    </w:p>
    <w:p>
      <w:pPr>
        <w:pStyle w:val="Heading1"/>
      </w:pPr>
      <w:r>
        <w:t>8. Puntos a validar con Infraestructura</w:t>
      </w:r>
    </w:p>
    <w:p>
      <w:pPr>
        <w:pStyle w:val="ListNumber"/>
        <w:spacing w:after="60"/>
      </w:pPr>
      <w:r>
        <w:rPr>
          <w:b w:val="0"/>
        </w:rPr>
        <w:t>¿La VIP actual del F5 puede atender también el tráfico de autenticación (política por hostname/path), o se requiere VIP nueva?</w:t>
      </w:r>
    </w:p>
    <w:p>
      <w:pPr>
        <w:pStyle w:val="ListNumber"/>
        <w:spacing w:after="60"/>
      </w:pPr>
      <w:r>
        <w:rPr>
          <w:b w:val="0"/>
        </w:rPr>
        <w:t>¿Existe ya, o está planeada, una plataforma IAM corporativa que haga innecesaria una instancia nueva (evitar duplicar IdPs)?</w:t>
      </w:r>
    </w:p>
    <w:p>
      <w:pPr>
        <w:pStyle w:val="ListNumber"/>
        <w:spacing w:after="60"/>
      </w:pPr>
      <w:r>
        <w:rPr>
          <w:b w:val="0"/>
        </w:rPr>
        <w:t>¿La instancia RDS actual admite una base adicional para Keycloak, o se prefiere instancia separada (IOPS, respaldos, cifrado)?</w:t>
      </w:r>
    </w:p>
    <w:p>
      <w:pPr>
        <w:pStyle w:val="ListNumber"/>
        <w:spacing w:after="60"/>
      </w:pPr>
      <w:r>
        <w:rPr>
          <w:b w:val="0"/>
        </w:rPr>
        <w:t>¿Hay restricciones de salida a internet desde tiendas que descarten el endpoint público de Cognito (Opción C)?</w:t>
      </w:r>
    </w:p>
    <w:p>
      <w:pPr>
        <w:pStyle w:val="ListNumber"/>
        <w:spacing w:after="60"/>
      </w:pPr>
      <w:r>
        <w:rPr>
          <w:b w:val="0"/>
        </w:rPr>
        <w:t>¿Qué equipo asumiría la operación 24/7 del IdP en las opciones A y B (parcheo, respaldos, monitoreo, DR)?</w:t>
      </w:r>
    </w:p>
    <w:p>
      <w:pPr>
        <w:pStyle w:val="ListNumber"/>
        <w:spacing w:after="60"/>
      </w:pPr>
      <w:r>
        <w:rPr>
          <w:b w:val="0"/>
        </w:rPr>
        <w:t>Dimensionamiento esperado: número de aplicaciones/clients a 12-24 meses (decide si A es suficiente o B se justifica desde ahora).</w:t>
      </w:r>
    </w:p>
    <w:p>
      <w:pPr>
        <w:pStyle w:val="Heading1"/>
      </w:pPr>
      <w:r>
        <w:t>Anexo A. Datos técnicos de referencia</w:t>
      </w:r>
    </w:p>
    <w:p>
      <w:pPr>
        <w:pStyle w:val="ListBullet"/>
        <w:spacing w:after="60"/>
      </w:pPr>
      <w:r>
        <w:rPr>
          <w:b w:val="0"/>
        </w:rPr>
        <w:t>Versiones vigentes (jun 2026): Keycloak 26.6.2 / Red Hat build of Keycloak 26.6 (Operator soportado en OpenShift).</w:t>
      </w:r>
    </w:p>
    <w:p>
      <w:pPr>
        <w:pStyle w:val="ListBullet"/>
        <w:spacing w:after="60"/>
      </w:pPr>
      <w:r>
        <w:rPr>
          <w:b w:val="0"/>
        </w:rPr>
        <w:t>Microservicio: Quarkus 3.33 LTS, Java 21, compilación nativa (Mandrel) sobre ubi10/ubi-minimal; OIDC vía quarkus-oidc, application-type=service.</w:t>
      </w:r>
    </w:p>
    <w:p>
      <w:pPr>
        <w:pStyle w:val="ListBullet"/>
        <w:spacing w:after="60"/>
      </w:pPr>
      <w:r>
        <w:rPr>
          <w:b w:val="0"/>
        </w:rPr>
        <w:t>Realm: “applications”; flujo client_credentials; client del POS (pos-client) y client del API (comision-variable-api); secretos inyectados por CyberArk Conjur.</w:t>
      </w:r>
    </w:p>
    <w:p>
      <w:pPr>
        <w:pStyle w:val="ListBullet"/>
        <w:spacing w:after="60"/>
      </w:pPr>
      <w:r>
        <w:rPr>
          <w:b w:val="0"/>
        </w:rPr>
        <w:t>Persistencia: RDS PostgreSQL, bitácora particionada por mes (Flyway); resiliencia hacia SPIN con MicroProfile Fault Tolerance configurable por ambiente.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8"/>
      </w:rPr>
      <w:t>SPIN Comisión Variable — Evaluación de arquitectura Keycloak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