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QIMO</w:t>
      </w:r>
      <w:r>
        <w:t xml:space="preserve"> </w:t>
      </w:r>
      <w:r>
        <w:t xml:space="preserve">·</w:t>
      </w:r>
      <w:r>
        <w:t xml:space="preserve"> </w:t>
      </w:r>
      <w:r>
        <w:t xml:space="preserve">Navio</w:t>
      </w:r>
      <w:r>
        <w:t xml:space="preserve"> </w:t>
      </w:r>
      <w:r>
        <w:t xml:space="preserve">Boutique</w:t>
      </w:r>
      <w:r>
        <w:t xml:space="preserve"> </w:t>
      </w:r>
      <w:r>
        <w:t xml:space="preserve">Próprio</w:t>
      </w:r>
      <w:r>
        <w:t xml:space="preserve"> </w:t>
      </w:r>
      <w:r>
        <w:t xml:space="preserve">—</w:t>
      </w:r>
      <w:r>
        <w:t xml:space="preserve"> </w:t>
      </w:r>
      <w:r>
        <w:t xml:space="preserve">Executive</w:t>
      </w:r>
      <w:r>
        <w:t xml:space="preserve"> </w:t>
      </w:r>
      <w:r>
        <w:t xml:space="preserve">Summary</w:t>
      </w:r>
    </w:p>
    <w:p>
      <w:pPr>
        <w:pStyle w:val="Subtitle"/>
      </w:pPr>
      <w:r>
        <w:t xml:space="preserve">Comprar</w:t>
      </w:r>
      <w:r>
        <w:t xml:space="preserve"> </w:t>
      </w:r>
      <w:r>
        <w:t xml:space="preserve">usado</w:t>
      </w:r>
      <w:r>
        <w:t xml:space="preserve"> </w:t>
      </w:r>
      <w:r>
        <w:t xml:space="preserve">×</w:t>
      </w:r>
      <w:r>
        <w:t xml:space="preserve"> </w:t>
      </w:r>
      <w:r>
        <w:t xml:space="preserve">Construir</w:t>
      </w:r>
      <w:r>
        <w:t xml:space="preserve"> </w:t>
      </w:r>
      <w:r>
        <w:t xml:space="preserve">novo</w:t>
      </w:r>
      <w:r>
        <w:t xml:space="preserve"> </w:t>
      </w:r>
      <w:r>
        <w:t xml:space="preserve">×</w:t>
      </w:r>
      <w:r>
        <w:t xml:space="preserve"> </w:t>
      </w:r>
      <w:r>
        <w:t xml:space="preserve">Continuar</w:t>
      </w:r>
      <w:r>
        <w:t xml:space="preserve"> </w:t>
      </w:r>
      <w:r>
        <w:t xml:space="preserve">fretando</w:t>
      </w:r>
      <w:r>
        <w:t xml:space="preserve"> </w:t>
      </w:r>
      <w:r>
        <w:t xml:space="preserve">·</w:t>
      </w:r>
      <w:r>
        <w:t xml:space="preserve"> </w:t>
      </w:r>
      <w:r>
        <w:t xml:space="preserve">Grécia</w:t>
      </w:r>
      <w:r>
        <w:t xml:space="preserve"> </w:t>
      </w:r>
      <w:r>
        <w:t xml:space="preserve">e</w:t>
      </w:r>
      <w:r>
        <w:t xml:space="preserve"> </w:t>
      </w:r>
      <w:r>
        <w:t xml:space="preserve">Mediterrâneo</w:t>
      </w:r>
    </w:p>
    <w:p>
      <w:pPr>
        <w:pStyle w:val="Date"/>
      </w:pP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Documento</w:t>
      </w:r>
      <w:r>
        <w:t xml:space="preserve"> </w:t>
      </w:r>
      <w:r>
        <w:t xml:space="preserve">para</w:t>
      </w:r>
      <w:r>
        <w:t xml:space="preserve"> </w:t>
      </w:r>
      <w:r>
        <w:t xml:space="preserve">os</w:t>
      </w:r>
      <w:r>
        <w:t xml:space="preserve"> </w:t>
      </w:r>
      <w:r>
        <w:t xml:space="preserve">sócios</w:t>
      </w:r>
      <w:r>
        <w:t xml:space="preserve"> </w:t>
      </w:r>
      <w:r>
        <w:t xml:space="preserve">(Investment</w:t>
      </w:r>
      <w:r>
        <w:t xml:space="preserve"> </w:t>
      </w:r>
      <w:r>
        <w:t xml:space="preserve">Committee)</w:t>
      </w:r>
    </w:p>
    <w:bookmarkStart w:id="23" w:name="devemos-investir-em-um-navio-próprio"/>
    <w:p>
      <w:pPr>
        <w:pStyle w:val="Heading1"/>
      </w:pPr>
      <w:r>
        <w:t xml:space="preserve">Devemos investir em um navio próprio?</w:t>
      </w:r>
    </w:p>
    <w:p>
      <w:pPr>
        <w:pStyle w:val="FirstParagraph"/>
      </w:pPr>
      <w:r>
        <w:rPr>
          <w:bCs/>
          <w:b/>
        </w:rPr>
        <w:t xml:space="preserve">Não agora. Recomendação: CONTINUAR FRETANDO, com estratégia gradual e gatilhos objetivos para comprar um navio usado. Construir um navio novo não se sustenta nos números.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Construir novo (36 cab / 72 pax, Turquia)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usado (36 cab / 72 pax)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(Variety Voyager ou similar)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Investimento necessário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€47,7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€21,4 M</w:t>
            </w:r>
            <w:r>
              <w:t xml:space="preserve"> </w:t>
            </w:r>
            <w:r>
              <w:rPr>
                <w:iCs/>
                <w:i/>
              </w:rPr>
              <w:t xml:space="preserve">(estimativa: nenhum anúncio de 72 pax encontrado)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€0 de CAPEX</w:t>
            </w:r>
            <w:r>
              <w:t xml:space="preserve"> </w:t>
            </w:r>
            <w:r>
              <w:t xml:space="preserve">(≈€0,7–1,1 M em sinais de reserva)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EBITDA potencial (ano 3, Base, 26 semanas)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€2,3 M (margem de 31%)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€1,6 M (margem de 23%)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n/a: custo de €280 k/semana de tarifa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TIR em 10 anos (desalavancada)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−1,7%</w:t>
            </w:r>
            <w:r>
              <w:t xml:space="preserve"> </w:t>
            </w:r>
            <w:r>
              <w:t xml:space="preserve">Base · +3,2% no Otimista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−2,7%</w:t>
            </w:r>
            <w:r>
              <w:t xml:space="preserve"> </w:t>
            </w:r>
            <w:r>
              <w:t xml:space="preserve">Base · +7,5% no Otimista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VPL a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−€31,5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−€13,1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 anos (9,6 anos no Otimista)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imediato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Semanas/ano para possuir sair mais barato que fretar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Principal 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e prazo (30–40 meses), estaleiro, ocupação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Ocupação mínima de 32 semanas, casco, retrofit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Disponibilidade e reajuste de preço</w:t>
            </w:r>
          </w:p>
        </w:tc>
      </w:tr>
    </w:tbl>
    <w:p>
      <w:pPr>
        <w:pStyle w:val="BodyText"/>
      </w:pPr>
      <w:r>
        <w:rPr>
          <w:bCs/>
          <w:b/>
        </w:rPr>
        <w:t xml:space="preserve">A conta decisiva:</w:t>
      </w:r>
      <w:r>
        <w:t xml:space="preserve"> </w:t>
      </w:r>
      <w:r>
        <w:t xml:space="preserve">possuir um navio de 72 passageiros só fica mais barato do que fretar a partir de</w:t>
      </w:r>
      <w:r>
        <w:t xml:space="preserve"> </w:t>
      </w:r>
      <w:r>
        <w:rPr>
          <w:bCs/>
          <w:b/>
        </w:rPr>
        <w:t xml:space="preserve">cerca de 32 semanas produtivas por ano</w:t>
      </w:r>
      <w:r>
        <w:t xml:space="preserve"> </w:t>
      </w:r>
      <w:r>
        <w:t xml:space="preserve">(navio usado) ou</w:t>
      </w:r>
      <w:r>
        <w:t xml:space="preserve"> </w:t>
      </w:r>
      <w:r>
        <w:rPr>
          <w:bCs/>
          <w:b/>
        </w:rPr>
        <w:t xml:space="preserve">42 semanas</w:t>
      </w:r>
      <w:r>
        <w:t xml:space="preserve"> </w:t>
      </w:r>
      <w:r>
        <w:t xml:space="preserve">(navio novo). A temporada do Mediterrâneo tem</w:t>
      </w:r>
      <w:r>
        <w:t xml:space="preserve"> </w:t>
      </w:r>
      <w:r>
        <w:rPr>
          <w:bCs/>
          <w:b/>
        </w:rPr>
        <w:t xml:space="preserve">28 a 30 semanas</w:t>
      </w:r>
      <w:r>
        <w:t xml:space="preserve">. Ou seja: mesmo com o navio cheio de abril a outubro, a QIMO pagaria mais caro para ter o próprio navio do que paga hoje para fretar. Esse limite só é superado com um programa de inverno contratado (Caribe, Mar Vermelho, Seychelles).</w:t>
      </w:r>
    </w:p>
    <w:p>
      <w:pPr>
        <w:pStyle w:val="BodyText"/>
      </w:pPr>
      <w:r>
        <w:rPr>
          <w:bCs/>
          <w:b/>
        </w:rPr>
        <w:t xml:space="preserve">O principal risco é a utilização.</w:t>
      </w:r>
      <w:r>
        <w:t xml:space="preserve"> </w:t>
      </w:r>
      <w:r>
        <w:t xml:space="preserve">Cada semana sem venda custa</w:t>
      </w:r>
      <w:r>
        <w:t xml:space="preserve"> </w:t>
      </w:r>
      <w:r>
        <w:rPr>
          <w:bCs/>
          <w:b/>
        </w:rPr>
        <w:t xml:space="preserve">€130–140 mil</w:t>
      </w:r>
      <w:r>
        <w:t xml:space="preserve"> </w:t>
      </w:r>
      <w:r>
        <w:t xml:space="preserve">em custos fixos de tripulação, seguros, manutenção e gestão. Com 20 semanas por ano (cenário Conservador), todas as opções de navio próprio têm EBITDA negativo.</w:t>
      </w:r>
    </w:p>
    <w:p>
      <w:r>
        <w:pict>
          <v:rect style="width:0;height:1.5pt" o:hralign="center" o:hrstd="t" o:hr="t"/>
        </w:pict>
      </w:r>
    </w:p>
    <w:bookmarkStart w:id="20" w:name="X892bd89b071b4d5ac334382105754df999867b5"/>
    <w:p>
      <w:pPr>
        <w:pStyle w:val="Heading2"/>
      </w:pPr>
      <w:r>
        <w:t xml:space="preserve">As cinco conclusões que sustentam a recomendação</w:t>
      </w:r>
    </w:p>
    <w:p>
      <w:pPr>
        <w:pStyle w:val="FirstParagraph"/>
      </w:pPr>
      <w:r>
        <w:rPr>
          <w:bCs/>
          <w:b/>
        </w:rPr>
        <w:t xml:space="preserve">1. O charter de mercado é barato em relação ao custo de possuir.</w:t>
      </w:r>
      <w:r>
        <w:t xml:space="preserve"> </w:t>
      </w:r>
      <w:r>
        <w:t xml:space="preserve">Variety Voyager (o benchmark do projeto, 36 cabines/72 pax):</w:t>
      </w:r>
      <w:r>
        <w:t xml:space="preserve"> </w:t>
      </w:r>
      <w:r>
        <w:rPr>
          <w:bCs/>
          <w:b/>
        </w:rPr>
        <w:t xml:space="preserve">€248–342 mil por semana</w:t>
      </w:r>
      <w:r>
        <w:t xml:space="preserve"> </w:t>
      </w:r>
      <w:r>
        <w:t xml:space="preserve">de tarifa (CONFIRMADO, broker). Somando APA, IVA, gorjetas e excursões, o custo total chega a</w:t>
      </w:r>
      <w:r>
        <w:t xml:space="preserve"> </w:t>
      </w:r>
      <w:r>
        <w:rPr>
          <w:bCs/>
          <w:b/>
        </w:rPr>
        <w:t xml:space="preserve">€464 mil/semana</w:t>
      </w:r>
      <w:r>
        <w:t xml:space="preserve">, ou</w:t>
      </w:r>
      <w:r>
        <w:t xml:space="preserve"> </w:t>
      </w:r>
      <w:r>
        <w:rPr>
          <w:bCs/>
          <w:b/>
        </w:rPr>
        <w:t xml:space="preserve">€6,4 mil por passageiro</w:t>
      </w:r>
      <w:r>
        <w:t xml:space="preserve">. A Variety opera navios já depreciados (o Voyager custou €29 M em 2012) com tripulação grega; um entrante novo, pagando o ativo a preços de 2026, não consegue igualar esse custo.</w:t>
      </w:r>
    </w:p>
    <w:p>
      <w:pPr>
        <w:pStyle w:val="BodyText"/>
      </w:pPr>
      <w:r>
        <w:rPr>
          <w:bCs/>
          <w:b/>
        </w:rPr>
        <w:t xml:space="preserve">2. Se for para possuir, o tamanho certo é 36 cabines / 72 passageiros.</w:t>
      </w:r>
      <w:r>
        <w:t xml:space="preserve"> </w:t>
      </w:r>
      <w:r>
        <w:t xml:space="preserve">É a configuração com menor break-even (16–18 semanas de EBITDA, contra 21–31 nas menores), menor custo por leito e maior tarifa absoluta. As configurações de 18–20 e 24 cabines têm custo fixo por passageiro alto demais: tripulação mínima, seguros e gestão não caem na mesma proporção.</w:t>
      </w:r>
    </w:p>
    <w:p>
      <w:pPr>
        <w:pStyle w:val="BodyText"/>
      </w:pPr>
      <w:r>
        <w:rPr>
          <w:bCs/>
          <w:b/>
        </w:rPr>
        <w:t xml:space="preserve">3. Construir novo não é recomendado.</w:t>
      </w:r>
      <w:r>
        <w:t xml:space="preserve"> </w:t>
      </w:r>
      <w:r>
        <w:t xml:space="preserve">Um navio luxury boutique de 72 pax custa</w:t>
      </w:r>
      <w:r>
        <w:t xml:space="preserve"> </w:t>
      </w:r>
      <w:r>
        <w:rPr>
          <w:bCs/>
          <w:b/>
        </w:rPr>
        <w:t xml:space="preserve">€47,7 M</w:t>
      </w:r>
      <w:r>
        <w:t xml:space="preserve"> </w:t>
      </w:r>
      <w:r>
        <w:t xml:space="preserve">até entrar em operação, mesmo na Turquia, o país mais competitivo. Para entregar TIR de 10% com 28 semanas/ano, a tarifa teria de ser</w:t>
      </w:r>
      <w:r>
        <w:t xml:space="preserve"> </w:t>
      </w:r>
      <w:r>
        <w:rPr>
          <w:bCs/>
          <w:b/>
        </w:rPr>
        <w:t xml:space="preserve">€419 mil/semana</w:t>
      </w:r>
      <w:r>
        <w:t xml:space="preserve">,</w:t>
      </w:r>
      <w:r>
        <w:t xml:space="preserve"> </w:t>
      </w:r>
      <w:r>
        <w:rPr>
          <w:bCs/>
          <w:b/>
        </w:rPr>
        <w:t xml:space="preserve">40% acima</w:t>
      </w:r>
      <w:r>
        <w:t xml:space="preserve"> </w:t>
      </w:r>
      <w:r>
        <w:t xml:space="preserve">do mercado. Pelo VPL, o valor máximo justificável a 30 semanas é</w:t>
      </w:r>
      <w:r>
        <w:t xml:space="preserve"> </w:t>
      </w:r>
      <w:r>
        <w:rPr>
          <w:bCs/>
          <w:b/>
        </w:rPr>
        <w:t xml:space="preserve">€17 M</w:t>
      </w:r>
      <w:r>
        <w:t xml:space="preserve">, um terço do custo real.</w:t>
      </w:r>
    </w:p>
    <w:p>
      <w:pPr>
        <w:pStyle w:val="BodyText"/>
      </w:pPr>
      <w:r>
        <w:rPr>
          <w:bCs/>
          <w:b/>
        </w:rPr>
        <w:t xml:space="preserve">4. Comprar usado só faz sentido como oportunidade.</w:t>
      </w:r>
      <w:r>
        <w:t xml:space="preserve"> </w:t>
      </w:r>
      <w:r>
        <w:t xml:space="preserve">O preço máximo que se paga a 30 semanas/ano é</w:t>
      </w:r>
      <w:r>
        <w:t xml:space="preserve"> </w:t>
      </w:r>
      <w:r>
        <w:rPr>
          <w:bCs/>
          <w:b/>
        </w:rPr>
        <w:t xml:space="preserve">≈ €11,5 M all-in para 72 pax</w:t>
      </w:r>
      <w:r>
        <w:t xml:space="preserve"> </w:t>
      </w:r>
      <w:r>
        <w:t xml:space="preserve">(ou ≈ €2,2 M para 48 pax). Isso exige uma compra em condição de estresse, como o leilão do Exploris One (132 pax) por €4,5 M em janeiro de 2026. Os anúncios reais de 48–60 pax na Grécia pedem €7–8 M mais retrofit e têm TIR negativa no cenário Base.</w:t>
      </w:r>
    </w:p>
    <w:p>
      <w:pPr>
        <w:pStyle w:val="BodyText"/>
      </w:pPr>
      <w:r>
        <w:rPr>
          <w:bCs/>
          <w:b/>
        </w:rPr>
        <w:t xml:space="preserve">5. A dívida não resolve; amplifica.</w:t>
      </w:r>
      <w:r>
        <w:t xml:space="preserve"> </w:t>
      </w:r>
      <w:r>
        <w:t xml:space="preserve">Com 50% ou 70% de financiamento, o DSCR fica em</w:t>
      </w:r>
      <w:r>
        <w:t xml:space="preserve"> </w:t>
      </w:r>
      <w:r>
        <w:rPr>
          <w:bCs/>
          <w:b/>
        </w:rPr>
        <w:t xml:space="preserve">0,3–0,6x</w:t>
      </w:r>
      <w:r>
        <w:t xml:space="preserve">, quando os bancos exigem ≥ 1,2–1,3x: o projeto não serve a dívida no cenário Base. A TIR do acionista piora.</w:t>
      </w:r>
    </w:p>
    <w:p>
      <w:r>
        <w:pict>
          <v:rect style="width:0;height:1.5pt" o:hralign="center" o:hrstd="t" o:hr="t"/>
        </w:pict>
      </w:r>
    </w:p>
    <w:bookmarkEnd w:id="20"/>
    <w:bookmarkStart w:id="21" w:name="respostas-objetivas-cenário-base"/>
    <w:p>
      <w:pPr>
        <w:pStyle w:val="Heading2"/>
      </w:pPr>
      <w:r>
        <w:t xml:space="preserve">Respostas objetivas (cenário Base)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precisamos investir?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Hoje: €0 de CAPEX</w:t>
            </w:r>
            <w:r>
              <w:t xml:space="preserve"> </w:t>
            </w:r>
            <w:r>
              <w:t xml:space="preserve">(≈€0,7–1,1 M em sinais de charter). Navio usado de 72 pax: €21,4 M (a TIR exige ≤ €11,5 M). Novo: €47,7 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tamanho?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Configuração C: 36 cabines</w:t>
            </w:r>
            <w:r>
              <w:t xml:space="preserve"> </w:t>
            </w:r>
            <w:r>
              <w:t xml:space="preserve">(menor break-even e custo por leito).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Cabines / passageiros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 cabines / 72 passageiros</w:t>
            </w:r>
            <w:r>
              <w:t xml:space="preserve"> </w:t>
            </w:r>
            <w:r>
              <w:t xml:space="preserve">(30 standard + 4 suítes + 2 master suites no concept brief).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 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€5,1–5,2 M</w:t>
            </w:r>
            <w:r>
              <w:t xml:space="preserve"> </w:t>
            </w:r>
            <w:r>
              <w:t xml:space="preserve">a 26 semanas (≈€3,4–3,5 M fixos + €55 mil/semana variáveis).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€6,7–7,5 M</w:t>
            </w:r>
            <w:r>
              <w:t xml:space="preserve"> </w:t>
            </w:r>
            <w:r>
              <w:t xml:space="preserve">a 26 semanas (8 semanas QIMO + 14 de charter de terceiros + 4 de venda de cabines).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necessárias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32/ano</w:t>
            </w:r>
            <w:r>
              <w:t xml:space="preserve"> </w:t>
            </w:r>
            <w:r>
              <w:t xml:space="preserve">(usado) para empatar com o charter;</w:t>
            </w:r>
            <w:r>
              <w:t xml:space="preserve"> </w:t>
            </w:r>
            <w:r>
              <w:rPr>
                <w:bCs/>
                <w:b/>
              </w:rPr>
              <w:t xml:space="preserve">≥ 42</w:t>
            </w:r>
            <w:r>
              <w:t xml:space="preserve"> </w:t>
            </w:r>
            <w:r>
              <w:t xml:space="preserve">(novo).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zero em</w:t>
            </w:r>
            <w:r>
              <w:t xml:space="preserve"> </w:t>
            </w:r>
            <w:r>
              <w:rPr>
                <w:bCs/>
                <w:b/>
              </w:rPr>
              <w:t xml:space="preserve">16–18 semanas</w:t>
            </w:r>
            <w:r>
              <w:t xml:space="preserve">; break-even econômico (com custo de capital) em 32–42 semanas.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esperado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€1,6–2,3 M</w:t>
            </w:r>
            <w:r>
              <w:t xml:space="preserve"> </w:t>
            </w:r>
            <w:r>
              <w:t xml:space="preserve">(margem de 23–31%).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 10 anos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−2,7% (usado) / −1,7% (novo)</w:t>
            </w:r>
            <w:r>
              <w:t xml:space="preserve">. No Otimista: +7,5% / +3,2%. Todas abaixo do hurdle de 10%.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10 anos</w:t>
            </w:r>
            <w:r>
              <w:t xml:space="preserve"> </w:t>
            </w:r>
            <w:r>
              <w:t xml:space="preserve">(Base).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em 10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Novo:</w:t>
            </w:r>
            <w:r>
              <w:t xml:space="preserve"> </w:t>
            </w:r>
            <w:r>
              <w:rPr>
                <w:bCs/>
                <w:b/>
              </w:rPr>
              <w:t xml:space="preserve">≈ €26 M</w:t>
            </w:r>
            <w:r>
              <w:t xml:space="preserve"> </w:t>
            </w:r>
            <w:r>
              <w:t xml:space="preserve">(55% do CAPEX). Usado:</w:t>
            </w:r>
            <w:r>
              <w:t xml:space="preserve"> </w:t>
            </w:r>
            <w:r>
              <w:rPr>
                <w:bCs/>
                <w:b/>
              </w:rPr>
              <w:t xml:space="preserve">≈ €10,7 M</w:t>
            </w:r>
            <w:r>
              <w:t xml:space="preserve"> </w:t>
            </w:r>
            <w:r>
              <w:t xml:space="preserve">(50%).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ou construir?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Comprar usado</w:t>
            </w:r>
            <w:r>
              <w:t xml:space="preserve">, e somente pelo preço-gatilho. Construir: não.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construir (se um dia)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Turquia</w:t>
            </w:r>
            <w:r>
              <w:t xml:space="preserve"> </w:t>
            </w:r>
            <w:r>
              <w:t xml:space="preserve">(Tersan, Cemre ou Sefine, com outfitter de interiores de iate). Índice de custo de 0,65–0,80 vs. Holanda.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societária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QIMO Brasil → HoldCo UE (Portugal ou Malta) → SPV armadora (bandeira de Malta ou MAR-Madeira) → OpCo UE afreta o navio, com gestor técnico ISM terceirizado.</w:t>
            </w:r>
            <w:r>
              <w:t xml:space="preserve"> </w:t>
            </w:r>
            <w:r>
              <w:rPr>
                <w:bCs/>
                <w:b/>
              </w:rPr>
              <w:t xml:space="preserve">Atenção à CFC brasileira (34%)</w:t>
            </w:r>
            <w:r>
              <w:t xml:space="preserve"> </w:t>
            </w:r>
            <w:r>
              <w:t xml:space="preserve">e à lista de regimes privilegiados (IN RFB 2.265/2025).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a partir das quais possuir é mais barato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32 semanas/ano (usado, 72 pax)</w:t>
            </w:r>
            <w:r>
              <w:t xml:space="preserve">; 38 (usado, 48 pax);</w:t>
            </w:r>
            <w:r>
              <w:t xml:space="preserve"> </w:t>
            </w:r>
            <w:r>
              <w:rPr>
                <w:bCs/>
                <w:b/>
              </w:rPr>
              <w:t xml:space="preserve">42 (novo)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 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Assinar um</w:t>
            </w:r>
            <w:r>
              <w:t xml:space="preserve"> </w:t>
            </w:r>
            <w:r>
              <w:rPr>
                <w:bCs/>
                <w:b/>
              </w:rPr>
              <w:t xml:space="preserve">acordo plurianual de bloco de semanas</w:t>
            </w:r>
            <w:r>
              <w:t xml:space="preserve"> </w:t>
            </w:r>
            <w:r>
              <w:t xml:space="preserve">com a Variety ou um operador similar (2027–2029); medir a demanda real da QIMO; montar um</w:t>
            </w:r>
            <w:r>
              <w:t xml:space="preserve"> </w:t>
            </w:r>
            <w:r>
              <w:rPr>
                <w:iCs/>
                <w:i/>
              </w:rPr>
              <w:t xml:space="preserve">watchlist</w:t>
            </w:r>
            <w:r>
              <w:t xml:space="preserve"> </w:t>
            </w:r>
            <w:r>
              <w:t xml:space="preserve">de navios em venda forçada com um broker; pré-estudo jurídico-tributário.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b4d1feb5debbc0c0e169328147f511bcc3422cf"/>
    <w:p>
      <w:pPr>
        <w:pStyle w:val="Heading2"/>
      </w:pPr>
      <w:r>
        <w:t xml:space="preserve">Estratégia recomendada: entrada gradual com gatilhos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Gatilho para avançar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Charter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charter de navios Variety-class para grupos QIMO, com marca e conteúdo QIMO a bordo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 semanas vendidas com margem-alvo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Bloco plurianual / co-investimento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2028–2029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de 8–12 semanas/ano por 3 anos, com desconto de 10–20% e branding; opcional: co-investir em refit em troca de exclusividade (modelo Unforgettable Croatia × MV Aretis, 20% do custo)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€0–2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12 semanas QIMO/ano por 2 anos</w:t>
            </w:r>
            <w:r>
              <w:t xml:space="preserve"> </w:t>
            </w: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≥ 18 semanas de terceiros/inverno pré-vendidas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Compra de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2030+ (oportunista)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Navio de 60–72 pax, bandeira UE, operado por gestor técnico experiente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€11,5 M all-in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≤ teto do modelo; programa de inverno contratado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Construção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antes de 2032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Somente com ≥ 40 semanas/ano comprovadas ou tarifa ≥ €420 mil/semana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€45–50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2–3 anos da Fase 3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que gradual:</w:t>
      </w:r>
      <w:r>
        <w:t xml:space="preserve"> </w:t>
      </w:r>
      <w:r>
        <w:t xml:space="preserve">a QIMO captura desde já o principal valor, o</w:t>
      </w:r>
      <w:r>
        <w:t xml:space="preserve"> </w:t>
      </w:r>
      <w:r>
        <w:rPr>
          <w:bCs/>
          <w:b/>
        </w:rPr>
        <w:t xml:space="preserve">produto e a marca</w:t>
      </w:r>
      <w:r>
        <w:t xml:space="preserve"> </w:t>
      </w:r>
      <w:r>
        <w:t xml:space="preserve">(gastronomia, vinhos, DJ, beach clubs, experiências em terra), sem imobilizar capital. Esse valor é o mesmo com navio fretado ou próprio, porque o fretamento exclusivo dá controle do conteúdo da semana. A propriedade só acrescenta a margem do operador, e essa margem só existe com mais de 32 semanas por ano.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Fontes, premissas e cálculos: Business Plan completo, Modelo Financeiro (planilha editável, com 6 opções × 3 cenários) e os anexos A1–A4. Rótulos: CONFIRMADO (fonte citada), ESTIMATIVA (cálculo fundamentado), PREMISSA (escolha de modelagem a validar). Câmbio: €1 = US$1,15 = R$5,85.</w:t>
      </w:r>
    </w:p>
    <w:bookmarkEnd w:id="22"/>
    <w:bookmarkEnd w:id="23"/>
    <w:sectPr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mbria" w:asciiTheme="majorHAnsi" w:cstheme="majorBidi" w:eastAsiaTheme="majorEastAsia" w:hAnsi="Cambria" w:hAnsiTheme="majorHAnsi"/>
      <w:b/>
      <w:bCs/>
      <w:color w:val="0B3C49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mbria" w:hAnsi="Cambria"/>
      <w:color w:val="0B3C49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  <w:rPr>
      <w:rFonts w:ascii="Cambria" w:hAnsi="Cambria"/>
      <w:color w:val="0B3C49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QIMO · Navio Boutique Próprio — Executive Summary</dc:title>
  <dc:creator/>
  <cp:keywords/>
  <dcterms:created xsi:type="dcterms:W3CDTF">2026-10-07T12:58:18Z</dcterms:created>
  <dcterms:modified xsi:type="dcterms:W3CDTF">2026-10-07T12:58:18Z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Outubro de 2026 · Documento para os sócios (Investment Committee)</vt:lpwstr>
  </property>
  <property fmtid="{D5CDD505-2E9C-101B-9397-08002B2CF9AE}" pid="3" name="subtitle">
    <vt:lpwstr>Comprar usado × Construir novo × Continuar fretando · Grécia e Mediterrâneo</vt:lpwstr>
  </property>
</Properties>
</file>