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QIMO</w:t>
      </w:r>
      <w:r>
        <w:t xml:space="preserve"> </w:t>
      </w:r>
      <w:r>
        <w:t xml:space="preserve">·</w:t>
      </w:r>
      <w:r>
        <w:t xml:space="preserve"> </w:t>
      </w:r>
      <w:r>
        <w:t xml:space="preserve">Navio</w:t>
      </w:r>
      <w:r>
        <w:t xml:space="preserve"> </w:t>
      </w:r>
      <w:r>
        <w:t xml:space="preserve">Boutique</w:t>
      </w:r>
      <w:r>
        <w:t xml:space="preserve"> </w:t>
      </w:r>
      <w:r>
        <w:t xml:space="preserve">Próprio</w:t>
      </w:r>
      <w:r>
        <w:t xml:space="preserve"> </w:t>
      </w:r>
      <w:r>
        <w:t xml:space="preserve">—</w:t>
      </w:r>
      <w:r>
        <w:t xml:space="preserve"> </w:t>
      </w:r>
      <w:r>
        <w:t xml:space="preserve">Business</w:t>
      </w:r>
      <w:r>
        <w:t xml:space="preserve"> </w:t>
      </w:r>
      <w:r>
        <w:t xml:space="preserve">Plan</w:t>
      </w:r>
    </w:p>
    <w:p>
      <w:pPr>
        <w:pStyle w:val="Subtitle"/>
      </w:pPr>
      <w:r>
        <w:t xml:space="preserve">Estudo</w:t>
      </w:r>
      <w:r>
        <w:t xml:space="preserve"> </w:t>
      </w:r>
      <w:r>
        <w:t xml:space="preserve">de</w:t>
      </w:r>
      <w:r>
        <w:t xml:space="preserve"> </w:t>
      </w:r>
      <w:r>
        <w:t xml:space="preserve">viabilidade:</w:t>
      </w:r>
      <w:r>
        <w:t xml:space="preserve"> </w:t>
      </w:r>
      <w:r>
        <w:t xml:space="preserve">comprar</w:t>
      </w:r>
      <w:r>
        <w:t xml:space="preserve"> </w:t>
      </w:r>
      <w:r>
        <w:t xml:space="preserve">usado</w:t>
      </w:r>
      <w:r>
        <w:t xml:space="preserve"> </w:t>
      </w:r>
      <w:r>
        <w:t xml:space="preserve">×</w:t>
      </w:r>
      <w:r>
        <w:t xml:space="preserve"> </w:t>
      </w:r>
      <w:r>
        <w:t xml:space="preserve">construir</w:t>
      </w:r>
      <w:r>
        <w:t xml:space="preserve"> </w:t>
      </w:r>
      <w:r>
        <w:t xml:space="preserve">novo</w:t>
      </w:r>
      <w:r>
        <w:t xml:space="preserve"> </w:t>
      </w:r>
      <w:r>
        <w:t xml:space="preserve">×</w:t>
      </w:r>
      <w:r>
        <w:t xml:space="preserve"> </w:t>
      </w:r>
      <w:r>
        <w:t xml:space="preserve">continuar</w:t>
      </w:r>
      <w:r>
        <w:t xml:space="preserve"> </w:t>
      </w:r>
      <w:r>
        <w:t xml:space="preserve">fretando</w:t>
      </w:r>
    </w:p>
    <w:p>
      <w:pPr>
        <w:pStyle w:val="Date"/>
      </w:pPr>
      <w:r>
        <w:t xml:space="preserve">Outubro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  <w:r>
        <w:t xml:space="preserve"> </w:t>
      </w:r>
      <w:r>
        <w:t xml:space="preserve">·</w:t>
      </w:r>
      <w:r>
        <w:t xml:space="preserve"> </w:t>
      </w:r>
      <w:r>
        <w:t xml:space="preserve">Versão</w:t>
      </w:r>
      <w:r>
        <w:t xml:space="preserve"> </w:t>
      </w:r>
      <w:r>
        <w:t xml:space="preserve">1.0</w:t>
      </w:r>
      <w:r>
        <w:t xml:space="preserve"> </w:t>
      </w:r>
      <w:r>
        <w:t xml:space="preserve">para</w:t>
      </w:r>
      <w:r>
        <w:t xml:space="preserve"> </w:t>
      </w:r>
      <w:r>
        <w:t xml:space="preserve">o</w:t>
      </w:r>
      <w:r>
        <w:t xml:space="preserve"> </w:t>
      </w:r>
      <w:r>
        <w:t xml:space="preserve">Investment</w:t>
      </w:r>
      <w:r>
        <w:t xml:space="preserve"> </w:t>
      </w:r>
      <w:r>
        <w:t xml:space="preserve">Committee</w:t>
      </w:r>
    </w:p>
    <w:bookmarkStart w:id="20" w:name="resposta-em-uma-página"/>
    <w:p>
      <w:pPr>
        <w:pStyle w:val="Heading1"/>
      </w:pPr>
      <w:r>
        <w:t xml:space="preserve">0. Resposta em uma página</w:t>
      </w:r>
    </w:p>
    <w:p>
      <w:pPr>
        <w:pStyle w:val="FirstParagraph"/>
      </w:pPr>
      <w:r>
        <w:rPr>
          <w:bCs/>
          <w:b/>
        </w:rPr>
        <w:t xml:space="preserve">Pergunta:</w:t>
      </w:r>
      <w:r>
        <w:t xml:space="preserve"> </w:t>
      </w:r>
      <w:r>
        <w:t xml:space="preserve">é economicamente mais interessante comprar um navio usado, construir um navio novo ou continuar fretando navios de terceiros para os grupos privados da QIMO na Grécia e no Mediterrâneo?</w:t>
      </w:r>
    </w:p>
    <w:p>
      <w:pPr>
        <w:pStyle w:val="BodyText"/>
      </w:pPr>
      <w:r>
        <w:rPr>
          <w:bCs/>
          <w:b/>
        </w:rPr>
        <w:t xml:space="preserve">Resposta: CONTINUE CHARTERING agora, com estratégia gradual e gatilhos de compra. BUILD NEW não se justifica. BUY USED só como oportunidade, a um preço máximo de ≈ €11,5 M all-in para 72 pax.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 (cenário Base, 26 semanas/ano)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Construir novo, 72 pax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Comprar usado, 72 pax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Investimento até a 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€47,7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€21,4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 CAPEX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Receita, ano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€7,5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€6,7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OPEX, ano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€5,1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€5,2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€280 k/semana de tarifa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EBITDA, ano 3 (margem)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€2,3 M (31%)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€1,6 M (23%)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TIR 10 anos, desalavancada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VPL</w:t>
            </w:r>
            <w:r>
              <w:t xml:space="preserve"> </w:t>
            </w:r>
            <w:r>
              <w:t xml:space="preserve">@10</w:t>
            </w: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−€31,5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−€13,1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 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 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Semanas para possuir = fretar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A temporada mediterrânea comporta de 28 a 30 semanas.</w:t>
      </w:r>
      <w:r>
        <w:t xml:space="preserve"> </w:t>
      </w:r>
      <w:r>
        <w:rPr>
          <w:bCs/>
          <w:b/>
        </w:rPr>
        <w:t xml:space="preserve">Possuir só supera fretar com utilização acima da temporada inteira</w:t>
      </w:r>
      <w:r>
        <w:t xml:space="preserve">, o que exige um programa de inverno contratado, ou se a compra for feita muito abaixo do mercado.</w:t>
      </w:r>
    </w:p>
    <w:p>
      <w:pPr>
        <w:pStyle w:val="BodyText"/>
      </w:pPr>
      <w:r>
        <w:rPr>
          <w:bCs/>
          <w:b/>
        </w:rPr>
        <w:t xml:space="preserve">Convenções.</w:t>
      </w:r>
      <w:r>
        <w:t xml:space="preserve"> </w:t>
      </w:r>
      <w:r>
        <w:t xml:space="preserve">Valores em euros de 2026. USD convertido a €1 = US$1,15; BRL a €1 = R$5,85 (CONFIRMADO: EUR/USD 1,1469 em 16/09/2026; EUR/BRL ≈ 5,84 no início de out/2026). Rótulos:</w:t>
      </w:r>
      <w:r>
        <w:t xml:space="preserve"> </w:t>
      </w:r>
      <w:r>
        <w:rPr>
          <w:bCs/>
          <w:b/>
        </w:rPr>
        <w:t xml:space="preserve">CONFIRMADO</w:t>
      </w:r>
      <w:r>
        <w:t xml:space="preserve"> </w:t>
      </w:r>
      <w:r>
        <w:t xml:space="preserve">(fonte citada),</w:t>
      </w:r>
      <w:r>
        <w:t xml:space="preserve"> </w:t>
      </w:r>
      <w:r>
        <w:rPr>
          <w:bCs/>
          <w:b/>
        </w:rPr>
        <w:t xml:space="preserve">ESTIMATIVA</w:t>
      </w:r>
      <w:r>
        <w:t xml:space="preserve"> </w:t>
      </w:r>
      <w:r>
        <w:t xml:space="preserve">(cálculo fundamentado, com método) e</w:t>
      </w:r>
      <w:r>
        <w:t xml:space="preserve"> </w:t>
      </w:r>
      <w:r>
        <w:rPr>
          <w:bCs/>
          <w:b/>
        </w:rPr>
        <w:t xml:space="preserve">PREMISSA</w:t>
      </w:r>
      <w:r>
        <w:t xml:space="preserve"> </w:t>
      </w:r>
      <w:r>
        <w:t xml:space="preserve">(escolha de modelagem a validar). Todos os números vêm da planilha</w:t>
      </w:r>
      <w:r>
        <w:t xml:space="preserve"> </w:t>
      </w:r>
      <w:r>
        <w:rPr>
          <w:rStyle w:val="VerbatimChar"/>
        </w:rPr>
        <w:t xml:space="preserve">QIMO_Navio_Modelo_Financeiro.xlsx</w:t>
      </w:r>
      <w:r>
        <w:t xml:space="preserve">, que recalcula ao editar as premissas.</w:t>
      </w:r>
    </w:p>
    <w:p>
      <w:pPr>
        <w:pStyle w:val="BodyText"/>
      </w:pPr>
      <w:r>
        <w:rPr>
          <w:bCs/>
          <w:b/>
        </w:rPr>
        <w:t xml:space="preserve">Limitação de pesquisa.</w:t>
      </w:r>
      <w:r>
        <w:t xml:space="preserve"> </w:t>
      </w:r>
      <w:r>
        <w:t xml:space="preserve">O proxy de rede bloqueou a abertura direta de várias páginas (anúncios, PDFs de tarifas, imprensa especializada). Muitos dados CONFIRMADOS vêm do resumo do mecanismo de busca para a URL citada. Antes de qualquer oferta ou assinatura, os preços-chave precisam ser confirmados diretamente com brokers.</w:t>
      </w:r>
    </w:p>
    <w:p>
      <w:r>
        <w:pict>
          <v:rect style="width:0;height:1.5pt" o:hralign="center" o:hrstd="t" o:hr="t"/>
        </w:pict>
      </w:r>
    </w:p>
    <w:bookmarkEnd w:id="20"/>
    <w:bookmarkStart w:id="24" w:name="conceito-do-projeto"/>
    <w:p>
      <w:pPr>
        <w:pStyle w:val="Heading1"/>
      </w:pPr>
      <w:r>
        <w:t xml:space="preserve">1. Conceito do projeto</w:t>
      </w:r>
    </w:p>
    <w:bookmarkStart w:id="21" w:name="o-produto"/>
    <w:p>
      <w:pPr>
        <w:pStyle w:val="Heading2"/>
      </w:pPr>
      <w:r>
        <w:t xml:space="preserve">1.1 O produto</w:t>
      </w:r>
    </w:p>
    <w:p>
      <w:pPr>
        <w:pStyle w:val="FirstParagraph"/>
      </w:pPr>
      <w:r>
        <w:t xml:space="preserve">Um</w:t>
      </w:r>
      <w:r>
        <w:t xml:space="preserve"> </w:t>
      </w:r>
      <w:r>
        <w:rPr>
          <w:bCs/>
          <w:b/>
        </w:rPr>
        <w:t xml:space="preserve">boutique cruise yacht</w:t>
      </w:r>
      <w:r>
        <w:t xml:space="preserve">: um hotel boutique flutuante com a marca QIMO, para grupos privados de alto padrão.</w:t>
      </w:r>
    </w:p>
    <w:p>
      <w:pPr>
        <w:numPr>
          <w:ilvl w:val="0"/>
          <w:numId w:val="1001"/>
        </w:numPr>
        <w:pStyle w:val="Compact"/>
      </w:pPr>
      <w:r>
        <w:t xml:space="preserve">Cerca de 36 cabines e 72 passageiros, com 25–30 tripulantes.</w:t>
      </w:r>
    </w:p>
    <w:p>
      <w:pPr>
        <w:numPr>
          <w:ilvl w:val="0"/>
          <w:numId w:val="1001"/>
        </w:numPr>
        <w:pStyle w:val="Compact"/>
      </w:pPr>
      <w:r>
        <w:t xml:space="preserve">Restaurante, bar e lounge, deck externo e solarium.</w:t>
      </w:r>
    </w:p>
    <w:p>
      <w:pPr>
        <w:numPr>
          <w:ilvl w:val="0"/>
          <w:numId w:val="1001"/>
        </w:numPr>
        <w:pStyle w:val="Compact"/>
      </w:pPr>
      <w:r>
        <w:t xml:space="preserve">Plataforma de banho/marina e equipamentos de esportes aquáticos.</w:t>
      </w:r>
    </w:p>
    <w:p>
      <w:pPr>
        <w:numPr>
          <w:ilvl w:val="0"/>
          <w:numId w:val="1001"/>
        </w:numPr>
        <w:pStyle w:val="Compact"/>
      </w:pPr>
      <w:r>
        <w:t xml:space="preserve">Capacidade para pequenas festas e eventos.</w:t>
      </w:r>
    </w:p>
    <w:p>
      <w:pPr>
        <w:numPr>
          <w:ilvl w:val="0"/>
          <w:numId w:val="1001"/>
        </w:numPr>
        <w:pStyle w:val="Compact"/>
      </w:pPr>
      <w:r>
        <w:t xml:space="preserve">Rotas: Cíclades, Dodecaneso, Jônicas, Croácia/Dalmácia, Montenegro, Costa Turquesa, Sicília/Eólias e Amalfi.</w:t>
      </w:r>
    </w:p>
    <w:bookmarkEnd w:id="21"/>
    <w:bookmarkStart w:id="22" w:name="Xf080d4300b73e1d8c6627ec41f6b33fdefd98f6"/>
    <w:p>
      <w:pPr>
        <w:pStyle w:val="Heading2"/>
      </w:pPr>
      <w:r>
        <w:t xml:space="preserve">1.2 Referência: Variety Voyager (Variety Cruises)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e 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2012, Psarros/Perama Shipyards, Grécia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CONFIRMADO: cruiseindustrynews.com (jun/2012)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 de construção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€29 M</w:t>
            </w:r>
            <w:r>
              <w:t xml:space="preserve"> </w:t>
            </w:r>
            <w:r>
              <w:t xml:space="preserve">(≈ €403 k/leito)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CONFIRMADO: 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 m LOA, 11,5 m de boca, 1.561–1.593 GT, aço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CONFIRMADO: superyachts.com, cruisemapper.com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cabines externas, 72 hóspedes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Tripulação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(brochura Variety) a 32 (superyachts.com)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Propulsão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× Caterpillar de 1.850 hp, 13 nós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Áreas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Spa, marina de popa, restaurante, lounge e sun deck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Tarifa de full charter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€247.650–342.000/semana</w:t>
            </w:r>
            <w:r>
              <w:t xml:space="preserve"> </w:t>
            </w:r>
            <w:r>
              <w:t xml:space="preserve">+ despesas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CONFIRMADO (broker), anexo A3</w:t>
            </w:r>
          </w:p>
        </w:tc>
      </w:tr>
    </w:tbl>
    <w:p>
      <w:pPr>
        <w:pStyle w:val="BodyText"/>
      </w:pPr>
      <w:r>
        <w:t xml:space="preserve">O Voyager prova que o conceito funciona comercialmente. A Variety, porém, opera com ativos comprados há 10–30 anos, tripulação grega e escala de frota (8 navios). Esses fatores definem o preço de mercado do charter, e esse preço é a régua contra a qual a QIMO compete.</w:t>
      </w:r>
    </w:p>
    <w:bookmarkEnd w:id="22"/>
    <w:bookmarkStart w:id="23" w:name="cabines-é-o-tamanho-ideal"/>
    <w:p>
      <w:pPr>
        <w:pStyle w:val="Heading2"/>
      </w:pPr>
      <w:r>
        <w:t xml:space="preserve">1.3 36 cabines é o tamanho ideal?</w:t>
      </w:r>
    </w:p>
    <w:p>
      <w:pPr>
        <w:pStyle w:val="FirstParagraph"/>
      </w:pPr>
      <w:r>
        <w:t xml:space="preserve">Foram comparadas três configurações, cada uma como navio novo e como navio usado: seis opções no total.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Configuração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Cabines / pax / tripulação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 novo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 usado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OPEX fixo/ano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Variável/semana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Tarifa de mercado/semana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Break-even 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Semanas para possuir = fretar (novo / usado)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/ 40 / 17 (novo); 18 / 36 / 16 (usado)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€27,4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€10,0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€2,1–2,2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€30–33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€105–120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27–31 sem.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 / 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/ 48 /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€31,9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€10,6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€2,5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€38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€150–170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21–25 sem.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 / 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/ 72 / 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€47,7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€21,4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€3,4–3,5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€55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€270–300 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16–18 sem.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42 / 32</w:t>
            </w:r>
          </w:p>
        </w:tc>
      </w:tr>
    </w:tbl>
    <w:p>
      <w:pPr>
        <w:pStyle w:val="BodyText"/>
      </w:pPr>
      <w:r>
        <w:t xml:space="preserve">Fonte: modelo financeiro, cenário Base. Valores de CAPEX, tarifas e custos com rótulos individuais na aba Premissas.</w:t>
      </w:r>
    </w:p>
    <w:p>
      <w:pPr>
        <w:pStyle w:val="BodyText"/>
      </w:pPr>
      <w:r>
        <w:rPr>
          <w:bCs/>
          <w:b/>
        </w:rPr>
        <w:t xml:space="preserve">Conclusão: a configuração C (36 cabines / 72 pax) é a mais eficiente.</w:t>
      </w:r>
    </w:p>
    <w:p>
      <w:pPr>
        <w:numPr>
          <w:ilvl w:val="0"/>
          <w:numId w:val="1002"/>
        </w:numPr>
        <w:pStyle w:val="Compact"/>
      </w:pPr>
      <w:r>
        <w:t xml:space="preserve">A tarifa semanal cresce quase linearmente com os leitos, mas o custo fixo não. Comandante, chefe de máquinas, hotel manager, chef, gestão técnica, classe e P&amp;I existem em qualquer tamanho.</w:t>
      </w:r>
    </w:p>
    <w:p>
      <w:pPr>
        <w:numPr>
          <w:ilvl w:val="0"/>
          <w:numId w:val="1002"/>
        </w:numPr>
        <w:pStyle w:val="Compact"/>
      </w:pPr>
      <w:r>
        <w:t xml:space="preserve">Por isso o break-even e o ponto de cruzamento com o charter caem à medida que o navio cresce.</w:t>
      </w:r>
    </w:p>
    <w:p>
      <w:pPr>
        <w:numPr>
          <w:ilvl w:val="0"/>
          <w:numId w:val="1002"/>
        </w:numPr>
        <w:pStyle w:val="Compact"/>
      </w:pPr>
      <w:r>
        <w:t xml:space="preserve">A configuração A é inviável como navio próprio. A B só faz sentido se o regime grego de iate profissional (≤ 49 passageiros, Lei 4926/2022) reduzir de forma material a tripulação mínima e as exigências de certificação. Isso precisa ser validado com advogado marítimo e não foi incorporado ao modelo.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os-três-modelos-de-negócio"/>
    <w:p>
      <w:pPr>
        <w:pStyle w:val="Heading1"/>
      </w:pPr>
      <w:r>
        <w:t xml:space="preserve">2. Os três modelos de negócio</w:t>
      </w:r>
    </w:p>
    <w:bookmarkStart w:id="25" w:name="modelo-1-compra-de-navio-usado"/>
    <w:p>
      <w:pPr>
        <w:pStyle w:val="Heading2"/>
      </w:pPr>
      <w:r>
        <w:t xml:space="preserve">2.1 Modelo 1: compra de navio usado</w:t>
      </w:r>
    </w:p>
    <w:p>
      <w:pPr>
        <w:pStyle w:val="FirstParagraph"/>
      </w:pPr>
      <w:r>
        <w:t xml:space="preserve">A pesquisa de mercado (detalhada na seção 11 e no documento</w:t>
      </w:r>
      <w:r>
        <w:t xml:space="preserve"> </w:t>
      </w:r>
      <w:r>
        <w:rPr>
          <w:iCs/>
          <w:i/>
        </w:rPr>
        <w:t xml:space="preserve">05_Vessel_Market_Scan</w:t>
      </w:r>
      <w:r>
        <w:t xml:space="preserve">) encontrou</w:t>
      </w:r>
      <w:r>
        <w:t xml:space="preserve"> </w:t>
      </w:r>
      <w:r>
        <w:rPr>
          <w:bCs/>
          <w:b/>
        </w:rPr>
        <w:t xml:space="preserve">12 anúncios reais</w:t>
      </w:r>
      <w:r>
        <w:t xml:space="preserve">.</w:t>
      </w:r>
      <w:r>
        <w:t xml:space="preserve"> </w:t>
      </w:r>
      <w:r>
        <w:rPr>
          <w:bCs/>
          <w:b/>
        </w:rPr>
        <w:t xml:space="preserve">Nenhum navio de 72 passageiros</w:t>
      </w:r>
      <w:r>
        <w:t xml:space="preserve"> </w:t>
      </w:r>
      <w:r>
        <w:t xml:space="preserve">em condição e preço compatíveis estava anunciado em outubro de 2026. As oportunidades reais concentram-se em navios de 36–60 passageiros, a</w:t>
      </w:r>
      <w:r>
        <w:t xml:space="preserve"> </w:t>
      </w:r>
      <w:r>
        <w:rPr>
          <w:bCs/>
          <w:b/>
        </w:rPr>
        <w:t xml:space="preserve">€130–270 mil por leito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Caso modelado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Aquisição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Custos do armador e pré-operacional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CAPEX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C_USADO</w:t>
            </w:r>
            <w:r>
              <w:t xml:space="preserve"> </w:t>
            </w:r>
            <w:r>
              <w:t xml:space="preserve">(72 pax)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ESTIMATIVA: faixa de €12–25 M para um navio de 60–70 m construído entre 2005 e 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€17,0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€3,0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do retrofit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€0,8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€21,4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B_USADO</w:t>
            </w:r>
            <w:r>
              <w:t xml:space="preserve"> </w:t>
            </w:r>
            <w:r>
              <w:t xml:space="preserve">(48 pax)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CONFIRMADO: anúncio #1048634, 47 m, 49 pax, bandeira grega, RINA, renovado em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€7,0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€2,5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€0,6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€10,6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A_USADO</w:t>
            </w:r>
            <w:r>
              <w:t xml:space="preserve"> </w:t>
            </w:r>
            <w:r>
              <w:t xml:space="preserve">(36 pax)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CONFIRMADO: anúncio #1091239, 63 m, 36 pax, Brodosplit 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€8,3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€1,0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€0,5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€10,0 M</w:t>
            </w:r>
          </w:p>
        </w:tc>
      </w:tr>
    </w:tbl>
    <w:p>
      <w:pPr>
        <w:pStyle w:val="BodyText"/>
      </w:pPr>
      <w:r>
        <w:t xml:space="preserve">O custo total para colocar o navio em operação inclui:</w:t>
      </w:r>
    </w:p>
    <w:p>
      <w:pPr>
        <w:numPr>
          <w:ilvl w:val="0"/>
          <w:numId w:val="1003"/>
        </w:numPr>
        <w:pStyle w:val="Compact"/>
      </w:pPr>
      <w:r>
        <w:t xml:space="preserve">inspeção pré-compra e due diligence;</w:t>
      </w:r>
    </w:p>
    <w:p>
      <w:pPr>
        <w:numPr>
          <w:ilvl w:val="0"/>
          <w:numId w:val="1003"/>
        </w:numPr>
        <w:pStyle w:val="Compact"/>
      </w:pPr>
      <w:r>
        <w:t xml:space="preserve">docagem de entrada e transferência de bandeira;</w:t>
      </w:r>
    </w:p>
    <w:p>
      <w:pPr>
        <w:numPr>
          <w:ilvl w:val="0"/>
          <w:numId w:val="1003"/>
        </w:numPr>
        <w:pStyle w:val="Compact"/>
      </w:pPr>
      <w:r>
        <w:t xml:space="preserve">retrofit de cabines, áreas sociais e marina;</w:t>
      </w:r>
    </w:p>
    <w:p>
      <w:pPr>
        <w:numPr>
          <w:ilvl w:val="0"/>
          <w:numId w:val="1003"/>
        </w:numPr>
        <w:pStyle w:val="Compact"/>
      </w:pPr>
      <w:r>
        <w:t xml:space="preserve">enxoval e equipamentos operacionais (OS&amp;E);</w:t>
      </w:r>
    </w:p>
    <w:p>
      <w:pPr>
        <w:numPr>
          <w:ilvl w:val="0"/>
          <w:numId w:val="1003"/>
        </w:numPr>
        <w:pStyle w:val="Compact"/>
      </w:pPr>
      <w:r>
        <w:t xml:space="preserve">recrutamento e treinamento;</w:t>
      </w:r>
    </w:p>
    <w:p>
      <w:pPr>
        <w:numPr>
          <w:ilvl w:val="0"/>
          <w:numId w:val="1003"/>
        </w:numPr>
        <w:pStyle w:val="Compact"/>
      </w:pPr>
      <w:r>
        <w:t xml:space="preserve">capital de giro.</w:t>
      </w:r>
    </w:p>
    <w:p>
      <w:pPr>
        <w:pStyle w:val="FirstParagraph"/>
      </w:pPr>
      <w:r>
        <w:rPr>
          <w:bCs/>
          <w:b/>
        </w:rPr>
        <w:t xml:space="preserve">Prazo até a operação: 6–15 meses.</w:t>
      </w:r>
    </w:p>
    <w:bookmarkEnd w:id="25"/>
    <w:bookmarkStart w:id="26" w:name="modelo-2-construção-de-navio-novo"/>
    <w:p>
      <w:pPr>
        <w:pStyle w:val="Heading2"/>
      </w:pPr>
      <w:r>
        <w:t xml:space="preserve">2.2 Modelo 2: construção de navio novo</w:t>
      </w:r>
    </w:p>
    <w:p>
      <w:pPr>
        <w:pStyle w:val="FirstParagraph"/>
      </w:pPr>
      <w:r>
        <w:t xml:space="preserve">Projeto conceitual com 36 cabines, ≈ 62 m LOA, navio de passageiros SOLAS, em três padrões. Base de custo: estaleiro turco, com índice de 0,75 em relação à Holanda (aba CAPEX_Construcao).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Bloco de custo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funcional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Luxury boutique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Ultra-luxury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Custo-base por leito (referência Holanda)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€560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€775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€1.125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Preço de contrato do estaleiro (Turquia)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€30,2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€41,9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€60,8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Projeto naval, engenharia 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€1,5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€2,5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€4,3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Casco e superestrutura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€6,7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€8,0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€9,7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Propulsão e máquinas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€3,9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€5,0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€6,7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Geradores e sistema elétrico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€2,7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€3,8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€5,5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HVAC, tubulações e sistemas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€3,0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€4,2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€5,5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Interiores e hotelaria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€6,7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€10,5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€17,6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Cozinha, lavanderia e equipamentos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€0,9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€1,3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€1,8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Navegação, comunicações e 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€0,9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€1,3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€1,8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Segurança (LSA/FFA/MES)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€1,2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€1,5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€1,8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Classe, bandeira e certificações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€0,6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€0,8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€0,9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Marina, tenders e water toys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€0,6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€1,0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€1,8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OS&amp;E (enxoval e operacional)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€0,6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€0,8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€1,5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Supervisão do armador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€0,9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€1,3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€1,8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Contingência (7% / 8% / 10%)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€2,1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€3,3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€6,1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Juros pré-entrega, legal, refund guarantee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€0,9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€1,3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€1,8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Pré-operacional e capital de giro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€0,9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€1,3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€1,8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 total até a operação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€34,2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€47,7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€70,5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 leito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€475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€663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€979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Contrato → 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22–26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24–30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28–36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Decisão → 1ª temporada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30–36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32–40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36–44 meses</w:t>
            </w:r>
          </w:p>
        </w:tc>
      </w:tr>
    </w:tbl>
    <w:p>
      <w:pPr>
        <w:pStyle w:val="BodyText"/>
      </w:pPr>
      <w:r>
        <w:rPr>
          <w:bCs/>
          <w:b/>
        </w:rPr>
        <w:t xml:space="preserve">Rótulos.</w:t>
      </w:r>
    </w:p>
    <w:p>
      <w:pPr>
        <w:numPr>
          <w:ilvl w:val="0"/>
          <w:numId w:val="1004"/>
        </w:numPr>
        <w:pStyle w:val="Compact"/>
      </w:pPr>
      <w:r>
        <w:t xml:space="preserve">Custo por leito: ESTIMATIVA a partir de preços de construção CONFIRMADOS:</w:t>
      </w:r>
    </w:p>
    <w:p>
      <w:pPr>
        <w:numPr>
          <w:ilvl w:val="1"/>
          <w:numId w:val="1005"/>
        </w:numPr>
        <w:pStyle w:val="Compact"/>
      </w:pPr>
      <w:r>
        <w:t xml:space="preserve">Silver Origin, €680 k/leito (De Hoop, 2020);</w:t>
      </w:r>
    </w:p>
    <w:p>
      <w:pPr>
        <w:numPr>
          <w:ilvl w:val="1"/>
          <w:numId w:val="1005"/>
        </w:numPr>
        <w:pStyle w:val="Compact"/>
      </w:pPr>
      <w:r>
        <w:t xml:space="preserve">Coral Adventurer, €568 k/leito (Vard Vietnã);</w:t>
      </w:r>
    </w:p>
    <w:p>
      <w:pPr>
        <w:numPr>
          <w:ilvl w:val="1"/>
          <w:numId w:val="1005"/>
        </w:numPr>
        <w:pStyle w:val="Compact"/>
      </w:pPr>
      <w:r>
        <w:t xml:space="preserve">Hondius, €255–290 k/leito (Brodosplit);</w:t>
      </w:r>
    </w:p>
    <w:p>
      <w:pPr>
        <w:numPr>
          <w:ilvl w:val="1"/>
          <w:numId w:val="1005"/>
        </w:numPr>
        <w:pStyle w:val="Compact"/>
      </w:pPr>
      <w:r>
        <w:t xml:space="preserve">Douglas Mawson, €384 k/leito (China, 2025);</w:t>
      </w:r>
    </w:p>
    <w:p>
      <w:pPr>
        <w:numPr>
          <w:ilvl w:val="1"/>
          <w:numId w:val="1005"/>
        </w:numPr>
        <w:pStyle w:val="Compact"/>
      </w:pPr>
      <w:r>
        <w:t xml:space="preserve">Variety Voyager, €403 k/leito em 2012, equivalente a ≈ €38–42 M corrigidos para 2026.</w:t>
      </w:r>
    </w:p>
    <w:p>
      <w:pPr>
        <w:numPr>
          <w:ilvl w:val="0"/>
          <w:numId w:val="1004"/>
        </w:numPr>
        <w:pStyle w:val="Compact"/>
      </w:pPr>
      <w:r>
        <w:t xml:space="preserve">Distribuição por bloco: ESTIMATIVA (não existe breakdown público).</w:t>
      </w:r>
    </w:p>
    <w:p>
      <w:pPr>
        <w:numPr>
          <w:ilvl w:val="0"/>
          <w:numId w:val="1004"/>
        </w:numPr>
        <w:pStyle w:val="Compact"/>
      </w:pPr>
      <w:r>
        <w:t xml:space="preserve">O caso modelado C_NOVO usa o padrão</w:t>
      </w:r>
      <w:r>
        <w:t xml:space="preserve"> </w:t>
      </w:r>
      <w:r>
        <w:rPr>
          <w:bCs/>
          <w:b/>
        </w:rPr>
        <w:t xml:space="preserve">Luxury boutique (€47,7 M)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Custo total por região (luxury boutique, até a operação):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Faixa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Holanda/Noruega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€64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Itália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€60–67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Espanha/Portugal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€51–57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Croácia/Grécia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€48–57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Turquia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€41–51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Vietnã/China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€38–48 M, mais €0,5–1 M de viagem de entrega</w:t>
            </w:r>
          </w:p>
        </w:tc>
      </w:tr>
    </w:tbl>
    <w:bookmarkEnd w:id="26"/>
    <w:bookmarkStart w:id="27" w:name="modelo-3-charter-de-terceiros"/>
    <w:p>
      <w:pPr>
        <w:pStyle w:val="Heading2"/>
      </w:pPr>
      <w:r>
        <w:t xml:space="preserve">2.3 Modelo 3: charter de terceiros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 (cenário 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pax (Voyager)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48–49 pax (Galileo/Harmony 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36–40 pax (Croácia/Callisto)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Tarifa de full charter/semana (CONFIRMADO, faixa)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€247,7–342 k (base de €280 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€92–172,9 k (base de €135 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€76–115 k (base de €95 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APA: provisões, bebidas, combustível extra, taxas portuárias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30–35%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IVA (Grécia, efetivo)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 do navio (tarifa + APA + IVA)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€403 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€194 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€137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Gorjetas (5–15%, padrão de 10%)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€28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€13,5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€9,5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Excursões e experiências (ESTIMATIVA: 5 dias × €90/pax)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€32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€22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€16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 total da semana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€464 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€230 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€163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 cabine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€12,9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€9,6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€9,0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 passageiro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€6,4 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€4,7 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€4,5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Faixa por passageiro (Conservador–Premium)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€5,5–8,5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€3,1–6,6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€3,5–6,2 k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Notas.</w:t>
      </w:r>
    </w:p>
    <w:p>
      <w:pPr>
        <w:numPr>
          <w:ilvl w:val="0"/>
          <w:numId w:val="1006"/>
        </w:numPr>
        <w:pStyle w:val="Compact"/>
      </w:pPr>
      <w:r>
        <w:t xml:space="preserve">Combustível: a tarifa inclui cerca de 6 horas de navegação por dia; o excesso é cobrado (Voyager: US$300/h), CONFIRMADO.</w:t>
      </w:r>
    </w:p>
    <w:p>
      <w:pPr>
        <w:numPr>
          <w:ilvl w:val="0"/>
          <w:numId w:val="1006"/>
        </w:numPr>
        <w:pStyle w:val="Compact"/>
      </w:pPr>
      <w:r>
        <w:t xml:space="preserve">Taxas portuárias e turísticas: cerca de US$490/pax via Goolets, ou €330–345/pax na Variety. Ficam dentro da APA.</w:t>
      </w:r>
    </w:p>
    <w:p>
      <w:pPr>
        <w:numPr>
          <w:ilvl w:val="0"/>
          <w:numId w:val="1006"/>
        </w:numPr>
        <w:pStyle w:val="Compact"/>
      </w:pPr>
      <w:r>
        <w:t xml:space="preserve">Taxa de cruzeiro grega: €20/pax em Santorini e Mykonos e €5 nos demais portos de junho a setembro (CONFIRMADO, em vigor desde julho de 2025).</w:t>
      </w:r>
    </w:p>
    <w:p>
      <w:pPr>
        <w:numPr>
          <w:ilvl w:val="0"/>
          <w:numId w:val="1006"/>
        </w:numPr>
        <w:pStyle w:val="Compact"/>
      </w:pPr>
      <w:r>
        <w:t xml:space="preserve">Posicionamento: normalmente zero dentro da área do navio.</w:t>
      </w:r>
    </w:p>
    <w:p>
      <w:pPr>
        <w:numPr>
          <w:ilvl w:val="0"/>
          <w:numId w:val="1006"/>
        </w:numPr>
        <w:pStyle w:val="Compact"/>
      </w:pPr>
      <w:r>
        <w:t xml:space="preserve">Mínimos de consumo: não se aplicam a full charter. A APA funciona como adiantamento, com saldo devolvido.</w:t>
      </w:r>
    </w:p>
    <w:p>
      <w:pPr>
        <w:pStyle w:val="FirstParagraph"/>
      </w:pPr>
      <w:r>
        <w:rPr>
          <w:bCs/>
          <w:b/>
        </w:rPr>
        <w:t xml:space="preserve">Para a comparação Buy × Build × Charter usa-se apenas a tarifa.</w:t>
      </w:r>
      <w:r>
        <w:t xml:space="preserve"> </w:t>
      </w:r>
      <w:r>
        <w:t xml:space="preserve">APA, IVA, gorjetas e excursões existem igualmente com navio próprio (como repasse), então incluí-los distorceria a comparação.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Xe3ed709e9e9102c6ff7bc9e256c3207cd781e43"/>
    <w:p>
      <w:pPr>
        <w:pStyle w:val="Heading1"/>
      </w:pPr>
      <w:r>
        <w:t xml:space="preserve">3. Estrutura societária (preliminar; não é aconselhamento jurídico)</w:t>
      </w:r>
    </w:p>
    <w:bookmarkStart w:id="29" w:name="estrutura-proposta"/>
    <w:p>
      <w:pPr>
        <w:pStyle w:val="Heading2"/>
      </w:pPr>
      <w:r>
        <w:t xml:space="preserve">3.1 Estrutura proposta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QIMO Brasil</w:t>
      </w:r>
      <w:r>
        <w:t xml:space="preserve"> </w:t>
      </w:r>
      <w:r>
        <w:t xml:space="preserve">(operadora e vendedora para clientes brasileiros).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HoldCo na União Europeia</w:t>
      </w:r>
      <w:r>
        <w:t xml:space="preserve">, em Portugal (tratado de bitributação Brasil–Portugal em vigor) ou Malta.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SPV armadora</w:t>
      </w:r>
      <w:r>
        <w:t xml:space="preserve"> </w:t>
      </w:r>
      <w:r>
        <w:t xml:space="preserve">(ship-owning company): Malta Ltd. com bandeira maltesa e tonnage tax,</w:t>
      </w:r>
      <w:r>
        <w:t xml:space="preserve"> </w:t>
      </w:r>
      <w:r>
        <w:rPr>
          <w:bCs/>
          <w:b/>
        </w:rPr>
        <w:t xml:space="preserve">ou</w:t>
      </w:r>
      <w:r>
        <w:t xml:space="preserve"> </w:t>
      </w:r>
      <w:r>
        <w:t xml:space="preserve">IBC da Madeira com registro MAR (IRC de 5%, tripulação isenta de IR e de segurança social portuguesa).</w:t>
      </w:r>
    </w:p>
    <w:p>
      <w:pPr>
        <w:numPr>
          <w:ilvl w:val="0"/>
          <w:numId w:val="1007"/>
        </w:numPr>
        <w:pStyle w:val="Compact"/>
      </w:pPr>
      <w:r>
        <w:t xml:space="preserve">A SPV arrenda o navio, por bareboat ou time charter, a uma</w:t>
      </w:r>
      <w:r>
        <w:t xml:space="preserve"> </w:t>
      </w:r>
      <w:r>
        <w:rPr>
          <w:bCs/>
          <w:b/>
        </w:rPr>
        <w:t xml:space="preserve">OpCo na UE</w:t>
      </w:r>
      <w:r>
        <w:t xml:space="preserve">, que vende as semanas à QIMO e a terceiros. Isso isola o risco de responsabilidade de passageiros (Reg. UE 392/2009) e facilita financiar ou vender a SPV.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Gestão técnica, ISM e DOC terceirizadas</w:t>
      </w:r>
      <w:r>
        <w:t xml:space="preserve"> </w:t>
      </w:r>
      <w:r>
        <w:t xml:space="preserve">a um gestor grego, maltês ou cipriota com experiência em navios de passageiros. A QIMO não tem DOC próprio.</w:t>
      </w:r>
    </w:p>
    <w:bookmarkEnd w:id="29"/>
    <w:bookmarkStart w:id="30" w:name="comparação-de-jurisdições"/>
    <w:p>
      <w:pPr>
        <w:pStyle w:val="Heading2"/>
      </w:pPr>
      <w:r>
        <w:t xml:space="preserve">3.2 Comparação de jurisdições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Jurisdição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Pontos fortes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Pontos de atenção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Bandeira UE de qualidade; tonnage tax aprovada pela UE (inclui iates comerciais); hipoteca naval reconhecida; tripulação não residente isenta de segurança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 em vigor até cerca de 2027/28 (renovação a monitorar); limite à receita</w:t>
            </w:r>
            <w:r>
              <w:t xml:space="preserve"> </w:t>
            </w:r>
            <w:r>
              <w:t xml:space="preserve">“</w:t>
            </w:r>
            <w:r>
              <w:t xml:space="preserve">acessória</w:t>
            </w:r>
            <w:r>
              <w:t xml:space="preserve">”</w:t>
            </w:r>
            <w:r>
              <w:t xml:space="preserve"> </w:t>
            </w:r>
            <w:r>
              <w:t xml:space="preserve">(hotelaria) em cruzeiros;</w:t>
            </w:r>
            <w:r>
              <w:t xml:space="preserve"> </w:t>
            </w:r>
            <w:r>
              <w:rPr>
                <w:bCs/>
                <w:b/>
              </w:rPr>
              <w:t xml:space="preserve">regimes ITC/IHC de Malta na lista brasileira de regimes privilegiados (IN RFB 2.265/2025)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Madeira (MAR)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IRC de 5%; tripulação isenta; bandeira UE (lista branca do Paris MoU); tratado Brasil–Portugal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Prazo do regime da Zona Franca (citado até 2027); citado em comentários sobre a lista brasileira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Grécia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Proximidade operacional; tonnage tax (Lei 27/1975); regime de iate profissional ≤ 49 pax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Bandeira grega exige tripulação grega/UE e encargos NAT de 25–30% (+€0,2–0,4 M/ano)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Chipre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Tonnage tax aprovada pela UE; polo de ship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Detalhes a validar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Marshall Islands, Cayman, Panamá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Imposto zero; leis de hipoteca flexíveis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Bandeira não UE limita a cabotagem</w:t>
            </w:r>
            <w:r>
              <w:t xml:space="preserve"> </w:t>
            </w:r>
            <w:r>
              <w:t xml:space="preserve">na Itália, na Croácia e na Grécia (≤ 49 pax)</w:t>
            </w:r>
          </w:p>
        </w:tc>
      </w:tr>
    </w:tbl>
    <w:bookmarkEnd w:id="30"/>
    <w:bookmarkStart w:id="31" w:name="ponto-crítico-cfc-brasileira"/>
    <w:p>
      <w:pPr>
        <w:pStyle w:val="Heading2"/>
      </w:pPr>
      <w:r>
        <w:t xml:space="preserve">3.3 Ponto crítico: CFC brasileira</w:t>
      </w:r>
    </w:p>
    <w:p>
      <w:pPr>
        <w:pStyle w:val="FirstParagraph"/>
      </w:pPr>
      <w:r>
        <w:t xml:space="preserve">Pela Lei 12.973/2014, o lucro de controlada no exterior é tributado</w:t>
      </w:r>
      <w:r>
        <w:t xml:space="preserve"> </w:t>
      </w:r>
      <w:r>
        <w:rPr>
          <w:bCs/>
          <w:b/>
        </w:rPr>
        <w:t xml:space="preserve">anualmente no Brasil a 34% (IRPJ + CSLL)</w:t>
      </w:r>
      <w:r>
        <w:t xml:space="preserve">, distribuído ou não, com crédito do imposto pago no exterior.</w:t>
      </w:r>
    </w:p>
    <w:p>
      <w:pPr>
        <w:numPr>
          <w:ilvl w:val="0"/>
          <w:numId w:val="1008"/>
        </w:numPr>
        <w:pStyle w:val="Compact"/>
      </w:pPr>
      <w:r>
        <w:t xml:space="preserve">A tonnage tax europeia</w:t>
      </w:r>
      <w:r>
        <w:t xml:space="preserve"> </w:t>
      </w:r>
      <w:r>
        <w:rPr>
          <w:bCs/>
          <w:b/>
        </w:rPr>
        <w:t xml:space="preserve">não reduz a carga final</w:t>
      </w:r>
      <w:r>
        <w:t xml:space="preserve"> </w:t>
      </w:r>
      <w:r>
        <w:t xml:space="preserve">para uma controladora PJ brasileira; o modelo usa 34% sobre o EBIT positivo.</w:t>
      </w:r>
    </w:p>
    <w:p>
      <w:pPr>
        <w:numPr>
          <w:ilvl w:val="0"/>
          <w:numId w:val="1008"/>
        </w:numPr>
        <w:pStyle w:val="Compact"/>
      </w:pPr>
      <w:r>
        <w:t xml:space="preserve">Desde 2026 há IRRF de 10% sobre dividendos (Lei 15.270/2025).</w:t>
      </w:r>
    </w:p>
    <w:p>
      <w:pPr>
        <w:numPr>
          <w:ilvl w:val="0"/>
          <w:numId w:val="1008"/>
        </w:numPr>
        <w:pStyle w:val="Compact"/>
      </w:pPr>
      <w:r>
        <w:t xml:space="preserve">Controladas de pessoas físicas seguem a Lei 14.754/2023.</w:t>
      </w:r>
    </w:p>
    <w:p>
      <w:pPr>
        <w:pStyle w:val="FirstParagraph"/>
      </w:pPr>
      <w:r>
        <w:rPr>
          <w:bCs/>
          <w:b/>
        </w:rPr>
        <w:t xml:space="preserve">Escolha a jurisdição pela bandeira, pelo financiamento e pela cabotagem; o imposto vem em segundo lugar.</w:t>
      </w:r>
    </w:p>
    <w:bookmarkEnd w:id="31"/>
    <w:bookmarkStart w:id="32" w:name="bandeira-e-cabotagem"/>
    <w:p>
      <w:pPr>
        <w:pStyle w:val="Heading2"/>
      </w:pPr>
      <w:r>
        <w:t xml:space="preserve">3.4 Bandeira e cabotagem</w:t>
      </w:r>
    </w:p>
    <w:p>
      <w:pPr>
        <w:numPr>
          <w:ilvl w:val="0"/>
          <w:numId w:val="1009"/>
        </w:numPr>
        <w:pStyle w:val="Compact"/>
      </w:pPr>
      <w:r>
        <w:t xml:space="preserve">Com 72 passageiros o navio é obrigatoriamente um</w:t>
      </w:r>
      <w:r>
        <w:t xml:space="preserve"> </w:t>
      </w:r>
      <w:r>
        <w:rPr>
          <w:bCs/>
          <w:b/>
        </w:rPr>
        <w:t xml:space="preserve">navio de passageiros SOLAS</w:t>
      </w:r>
      <w:r>
        <w:t xml:space="preserve">. O Passenger Yacht Code só cobre 13–36 passageiros.</w:t>
      </w:r>
    </w:p>
    <w:p>
      <w:pPr>
        <w:numPr>
          <w:ilvl w:val="0"/>
          <w:numId w:val="1009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bandeira UE é fortemente recomendada</w:t>
      </w:r>
      <w:r>
        <w:t xml:space="preserve">: o Reg. 3577/92 garante cabotagem a navios UE na Grécia, na Croácia e na Itália.</w:t>
      </w:r>
    </w:p>
    <w:p>
      <w:pPr>
        <w:numPr>
          <w:ilvl w:val="0"/>
          <w:numId w:val="1009"/>
        </w:numPr>
        <w:pStyle w:val="Compact"/>
      </w:pPr>
      <w:r>
        <w:t xml:space="preserve">A Itália reserva a cabotagem a navios UE (Código de Navegação, art. 224; caso Alpina no TJUE).</w:t>
      </w:r>
    </w:p>
    <w:bookmarkEnd w:id="32"/>
    <w:bookmarkStart w:id="33" w:name="Xf5b4db9d286fd7d61e61456943daf77ac5274a0"/>
    <w:p>
      <w:pPr>
        <w:pStyle w:val="Heading2"/>
      </w:pPr>
      <w:r>
        <w:t xml:space="preserve">3.5 Pontos a validar com advogado marítimo e tributarista</w:t>
      </w:r>
    </w:p>
    <w:p>
      <w:pPr>
        <w:numPr>
          <w:ilvl w:val="0"/>
          <w:numId w:val="1010"/>
        </w:numPr>
        <w:pStyle w:val="Compact"/>
      </w:pPr>
      <w:r>
        <w:t xml:space="preserve">Regime de bandeira, classe e vistorias para 72 pax SOLAS, comparado com a alternativa de iate profissional grego ≤ 49 pax.</w:t>
      </w:r>
    </w:p>
    <w:p>
      <w:pPr>
        <w:numPr>
          <w:ilvl w:val="0"/>
          <w:numId w:val="1010"/>
        </w:numPr>
        <w:pStyle w:val="Compact"/>
      </w:pPr>
      <w:r>
        <w:t xml:space="preserve">Lei grega 4150/2013 (cabotagem) e aplicação da taxa de cruzeiro a navios pequenos.</w:t>
      </w:r>
    </w:p>
    <w:p>
      <w:pPr>
        <w:numPr>
          <w:ilvl w:val="0"/>
          <w:numId w:val="1010"/>
        </w:numPr>
        <w:pStyle w:val="Compact"/>
      </w:pPr>
      <w:r>
        <w:t xml:space="preserve">Limite de receita acessória na tonnage tax de Malta e renovação após 2027/28.</w:t>
      </w:r>
    </w:p>
    <w:p>
      <w:pPr>
        <w:numPr>
          <w:ilvl w:val="0"/>
          <w:numId w:val="1010"/>
        </w:numPr>
        <w:pStyle w:val="Compact"/>
      </w:pPr>
      <w:r>
        <w:t xml:space="preserve">CFC (Lei 12.973), Lei 14.754 e exposição à lista de regimes privilegiados (IN RFB 2.265/2025).</w:t>
      </w:r>
    </w:p>
    <w:p>
      <w:pPr>
        <w:numPr>
          <w:ilvl w:val="0"/>
          <w:numId w:val="1010"/>
        </w:numPr>
        <w:pStyle w:val="Compact"/>
      </w:pPr>
      <w:r>
        <w:t xml:space="preserve">Tratados Brasil–Portugal e Brasil–Malta (este com ratificação a confirmar).</w:t>
      </w:r>
    </w:p>
    <w:p>
      <w:pPr>
        <w:numPr>
          <w:ilvl w:val="0"/>
          <w:numId w:val="1010"/>
        </w:numPr>
        <w:pStyle w:val="Compact"/>
      </w:pPr>
      <w:r>
        <w:t xml:space="preserve">Preços de transferência entre a QIMO Brasil e a OpCo.</w:t>
      </w:r>
    </w:p>
    <w:p>
      <w:pPr>
        <w:numPr>
          <w:ilvl w:val="0"/>
          <w:numId w:val="1010"/>
        </w:numPr>
        <w:pStyle w:val="Compact"/>
      </w:pPr>
      <w:r>
        <w:t xml:space="preserve">IVA de cruzeiros domésticos gregos e regime TOMS (margem) para pacotes.</w:t>
      </w:r>
    </w:p>
    <w:p>
      <w:pPr>
        <w:numPr>
          <w:ilvl w:val="0"/>
          <w:numId w:val="1010"/>
        </w:numPr>
        <w:pStyle w:val="Compact"/>
      </w:pPr>
      <w:r>
        <w:t xml:space="preserve">Responsabilidade de passageiros (Atenas 2002 / Reg. 392/2009: seguro obrigatório de 250.000 SDR por passageiro).</w:t>
      </w:r>
    </w:p>
    <w:p>
      <w:pPr>
        <w:numPr>
          <w:ilvl w:val="0"/>
          <w:numId w:val="1010"/>
        </w:numPr>
        <w:pStyle w:val="Compact"/>
      </w:pPr>
      <w:r>
        <w:t xml:space="preserve">Código de Defesa do Consumidor e Cadastur para a venda no Brasil.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modelo-operacional"/>
    <w:p>
      <w:pPr>
        <w:pStyle w:val="Heading1"/>
      </w:pPr>
      <w:r>
        <w:t xml:space="preserve">4. Modelo operacional</w:t>
      </w:r>
    </w:p>
    <w:bookmarkStart w:id="35" w:name="tripulação-configuração-c-28-pessoas"/>
    <w:p>
      <w:pPr>
        <w:pStyle w:val="Heading2"/>
      </w:pPr>
      <w:r>
        <w:t xml:space="preserve">4.1 Tripulação (configuração C, 28 pessoas)</w:t>
      </w:r>
    </w:p>
    <w:p>
      <w:pPr>
        <w:pStyle w:val="FirstParagraph"/>
      </w:pPr>
      <w:r>
        <w:t xml:space="preserve">ESTIMATIVA ancorada no UKSA Superyacht Salary Guide 2025, em vagas da Quay Crew e em escalas de cruzeiro (Celestyal, IBF).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Departamento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Funções (quantidade, € brutos/mês)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Convés (6)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Comandante (1, €12.000); imediato (1, €7.000); 2º oficial (1, €4.500); contramestre (1, €3.500); marinheiros e tender drivers (2, €2.800)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Máquinas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Chefe de máquinas (1, €9.000); 2º maquinista (1, €5.500); 3º maquinista/ETO (1, €4.500)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Hotel e experiências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Hotel manager (1, €6.500); recepção/purser (1, €3.000); líder de atividades (1, €4.000); esportes aquáticos (1, €2.800)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Cozinha 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Chef executivo (1, €7.000); sous chef (1, €4.500); cozinheiros (2, €3.000); auxiliar (1, €1.800)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Restaurante e bar 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Maître (1, €3.200); garçons (3, €2.400); bartender/sommelier (1, €2.600)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Housekeeping 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Governanta (1, €3.000); camareiros (3, €2.200); lavanderia (1, €1.800)</w:t>
            </w:r>
          </w:p>
        </w:tc>
      </w:tr>
    </w:tbl>
    <w:p>
      <w:pPr>
        <w:pStyle w:val="BodyText"/>
      </w:pPr>
      <w:r>
        <w:t xml:space="preserve">Como o custo anual é calculado:</w:t>
      </w:r>
    </w:p>
    <w:p>
      <w:pPr>
        <w:numPr>
          <w:ilvl w:val="0"/>
          <w:numId w:val="1011"/>
        </w:numPr>
        <w:pStyle w:val="Compact"/>
      </w:pPr>
      <w:r>
        <w:t xml:space="preserve">Seis postos-chave são pagos 12 meses, com fator de rodízio de 1,3.</w:t>
      </w:r>
    </w:p>
    <w:p>
      <w:pPr>
        <w:numPr>
          <w:ilvl w:val="0"/>
          <w:numId w:val="1011"/>
        </w:numPr>
        <w:pStyle w:val="Compact"/>
      </w:pPr>
      <w:r>
        <w:t xml:space="preserve">A tripulação sazonal é paga 8 meses.</w:t>
      </w:r>
    </w:p>
    <w:p>
      <w:pPr>
        <w:numPr>
          <w:ilvl w:val="0"/>
          <w:numId w:val="1011"/>
        </w:numPr>
        <w:pStyle w:val="Compact"/>
      </w:pPr>
      <w:r>
        <w:t xml:space="preserve">Encargos operacionais de +22%: viagens, rotação, treinamento, uniformes e recrutamento.</w:t>
      </w:r>
    </w:p>
    <w:p>
      <w:pPr>
        <w:numPr>
          <w:ilvl w:val="0"/>
          <w:numId w:val="1011"/>
        </w:numPr>
        <w:pStyle w:val="Compact"/>
      </w:pPr>
      <w:r>
        <w:t xml:space="preserve">Encargos sociais de +5% (bandeira Malta ou Madeira; tripulação não residente isenta ou quase).</w:t>
      </w:r>
    </w:p>
    <w:p>
      <w:pPr>
        <w:numPr>
          <w:ilvl w:val="0"/>
          <w:numId w:val="1011"/>
        </w:numPr>
        <w:pStyle w:val="Compact"/>
      </w:pPr>
      <w:r>
        <w:t xml:space="preserve">A alimentação da tripulação (€13/dia) entra como custo variável.</w:t>
      </w:r>
    </w:p>
    <w:p>
      <w:pPr>
        <w:pStyle w:val="FirstParagraph"/>
      </w:pPr>
      <w:r>
        <w:t xml:space="preserve">Resultado:</w:t>
      </w:r>
      <w:r>
        <w:t xml:space="preserve"> </w:t>
      </w:r>
      <w:r>
        <w:rPr>
          <w:bCs/>
          <w:b/>
        </w:rPr>
        <w:t xml:space="preserve">custo anual da tripulação de €1,59 M</w:t>
      </w:r>
      <w:r>
        <w:t xml:space="preserve">, dentro da faixa de mercado de €1,5–1,8 M. Com bandeira grega seriam €1,8–2,2 M. B (20 pessoas) custa €1,19 M e A (17 pessoas), €1,02 M.</w:t>
      </w:r>
    </w:p>
    <w:bookmarkEnd w:id="35"/>
    <w:bookmarkStart w:id="36" w:name="X845795b2b607cb5f25a907f67dc009fea686170"/>
    <w:p>
      <w:pPr>
        <w:pStyle w:val="Heading2"/>
      </w:pPr>
      <w:r>
        <w:t xml:space="preserve">4.2 Orçamento operacional anual (configuração C, base 2026)</w:t>
      </w:r>
    </w:p>
    <w:p>
      <w:pPr>
        <w:pStyle w:val="FirstParagraph"/>
      </w:pPr>
      <w:r>
        <w:rPr>
          <w:bCs/>
          <w:b/>
        </w:rPr>
        <w:t xml:space="preserve">Custos fixos (€/ano)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Tripulação (folha e encargos)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1.587.500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1.587.500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 Tripulação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Seguro H&amp;M (0,8% do valor)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381.700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171.200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CONFIRMADO: faixa de 0,5–1%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P&amp;I, responsabilidade de passageiros, war e LoH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ESTIMATIVA: P&amp;I de US$40–80/GT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Manutenção e reparos (exceto docagem)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2–5% do valor (yatco.com)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Gestão técnica / ISM / 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ESTIMATIVA: €220–350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Hibernação de inverno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€40–120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Starlink e 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CONFIRMADO: planos de US$250–2.150/mês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Licenças, classe, bandeira e auditorias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€60–120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Reposição de enxoval e FF&amp;E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€80–150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B2B e vendas de charter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G&amp;A da SPV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fixo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€3,39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€3,45 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Custos variáveis por semana operada (72 pax, ocupação de leitos de 90%)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€/semana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Combustível: 25 t × (US$1.000 ÷ 1,15)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21.739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 t/dia; MGO no Pireu entre US$690 (abr/26) e US$1.657/t (set/26)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Alimentação de hóspedes (€55/pax-dia)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€45–65/pax-dia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Lavanderia, amenities e consumíveis (€10/pax-dia)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4.536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Alimentação da tripulação (€13/dia)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2.548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Lubrificantes, água e outros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variável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€55,3 k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Itens de repasse via APA ou cobrados do passageiro, neutros no resultado:</w:t>
      </w:r>
      <w:r>
        <w:t xml:space="preserve"> </w:t>
      </w:r>
      <w:r>
        <w:t xml:space="preserve">taxas portuárias e agência (€6–12 k/semana), taxa de cruzeiro grega (até €4,3 k numa semana de pico), bebidas e combustível extra.</w:t>
      </w:r>
    </w:p>
    <w:p>
      <w:pPr>
        <w:pStyle w:val="BodyText"/>
      </w:pPr>
      <w:r>
        <w:rPr>
          <w:bCs/>
          <w:b/>
        </w:rPr>
        <w:t xml:space="preserve">Resultado:</w:t>
      </w:r>
      <w:r>
        <w:t xml:space="preserve"> </w:t>
      </w:r>
      <w:r>
        <w:t xml:space="preserve">com 26 semanas, o</w:t>
      </w:r>
      <w:r>
        <w:t xml:space="preserve"> </w:t>
      </w:r>
      <w:r>
        <w:rPr>
          <w:bCs/>
          <w:b/>
        </w:rPr>
        <w:t xml:space="preserve">OPEX total do navio é ≈ €5,1–5,2 M/ano</w:t>
      </w:r>
      <w:r>
        <w:t xml:space="preserve"> </w:t>
      </w:r>
      <w:r>
        <w:t xml:space="preserve">(ano 3, já com inflação). Fica dentro da faixa independente de €5,2–6,8 M estimada na pesquisa de OPEX (anexo A4), que inclui itens tratados aqui como repasse.</w:t>
      </w:r>
    </w:p>
    <w:bookmarkEnd w:id="36"/>
    <w:bookmarkStart w:id="37" w:name="manutenção-docagens-e-capex-recorrente"/>
    <w:p>
      <w:pPr>
        <w:pStyle w:val="Heading2"/>
      </w:pPr>
      <w:r>
        <w:t xml:space="preserve">4.3 Manutenção, docagens e CAPEX recorrente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 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Usado (C)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Docagem intermediária, anos 3 e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€0,35 M / €0,40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€0,45 M / €0,50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Docagem especial, anos 5 e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€0,80 M / €1,00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€1,00 M / €1,10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CAPEX de manutenção recorrente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0,5% do CAPEX/ano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1,0% do CAPEX/ano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Refurb de hotelaria no ano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 do 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 do CAPEX</w:t>
            </w:r>
          </w:p>
        </w:tc>
      </w:tr>
    </w:tbl>
    <w:p>
      <w:pPr>
        <w:pStyle w:val="BodyText"/>
      </w:pPr>
      <w:r>
        <w:t xml:space="preserve">Ciclo de classe: certificado de segurança de navio de passageiros</w:t>
      </w:r>
      <w:r>
        <w:t xml:space="preserve"> </w:t>
      </w:r>
      <w:r>
        <w:rPr>
          <w:bCs/>
          <w:b/>
        </w:rPr>
        <w:t xml:space="preserve">anual</w:t>
      </w:r>
      <w:r>
        <w:t xml:space="preserve">, vistoria intermediária a cada 2,5 anos e especial a cada 5 anos.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sazonalidade-e-calendário-operacional"/>
    <w:p>
      <w:pPr>
        <w:pStyle w:val="Heading1"/>
      </w:pPr>
      <w:r>
        <w:t xml:space="preserve">5. Sazonalidade e calendário operacional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Período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de abril a maio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Grécia: Cíclades e Peloponeso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Ombro: tarifas de charter</w:t>
            </w:r>
            <w:r>
              <w:t xml:space="preserve"> </w:t>
            </w:r>
            <w:r>
              <w:rPr>
                <w:bCs/>
                <w:b/>
              </w:rPr>
              <w:t xml:space="preserve">mais altas</w:t>
            </w:r>
            <w:r>
              <w:t xml:space="preserve"> </w:t>
            </w:r>
            <w:r>
              <w:t xml:space="preserve">(mai–jun, set); clima ideal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Junho a meados de julho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Croácia, Montenegro e Adriático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Dubrovnik isenta navios de até 500 pax das restrições de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Meados de julho a agosto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Grécia (Jônicas e Sarônicas) e Turquia (Costa Turquesa)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Meltemi forte nas Cíclades; julho e agosto têm tarifa</w:t>
            </w:r>
            <w:r>
              <w:t xml:space="preserve"> </w:t>
            </w:r>
            <w:r>
              <w:rPr>
                <w:bCs/>
                <w:b/>
              </w:rPr>
              <w:t xml:space="preserve">menor</w:t>
            </w:r>
            <w:r>
              <w:t xml:space="preserve"> </w:t>
            </w:r>
            <w:r>
              <w:t xml:space="preserve">que o ombro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Setembro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Grécia (Cíclades e Dodecaneso)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temporada de charter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Outubro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Itália: Sicília, Eólias e Amalfi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Fim de temporada; reposicionamento para hibernação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Novembro a março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abaixo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Vale a pena reposicionar no inverno?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Mar Vermelho/Egito:</w:t>
      </w:r>
      <w:r>
        <w:t xml:space="preserve"> </w:t>
      </w:r>
      <w:r>
        <w:t xml:space="preserve">risco de segurança elevado (ataques a navios em 2024–26; choque de setembro de 2026 no Oriente Médio) e seguro de guerra caro.</w:t>
      </w:r>
      <w:r>
        <w:t xml:space="preserve"> </w:t>
      </w:r>
      <w:r>
        <w:rPr>
          <w:bCs/>
          <w:b/>
        </w:rPr>
        <w:t xml:space="preserve">Não recomendado.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Seychelles e Oceano Índico:</w:t>
      </w:r>
      <w:r>
        <w:t xml:space="preserve"> </w:t>
      </w:r>
      <w:r>
        <w:t xml:space="preserve">a Variety opera lá (Pegasus, CONFIRMADO). Exige 15–17 dias via Suez, com prêmio de segurança. Possível, com risco.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Cabo Verde e África Ocidental:</w:t>
      </w:r>
      <w:r>
        <w:t xml:space="preserve"> </w:t>
      </w:r>
      <w:r>
        <w:t xml:space="preserve">a Variety opera lá (Harmony V e Dacar, CONFIRMADO). São 12–14 dias de viagem; a demanda é de nicho.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Caribe e Costa Rica/Panamá:</w:t>
      </w:r>
      <w:r>
        <w:t xml:space="preserve"> </w:t>
      </w:r>
      <w:r>
        <w:t xml:space="preserve">a Variety opera lá (Panorama, CONFIRMADO). A travessia leva 3–4 semanas.</w:t>
      </w:r>
      <w:r>
        <w:t xml:space="preserve"> </w:t>
      </w:r>
      <w:r>
        <w:rPr>
          <w:bCs/>
          <w:b/>
        </w:rPr>
        <w:t xml:space="preserve">O inverno europeu coincide com a alta temporada brasileira</w:t>
      </w:r>
      <w:r>
        <w:t xml:space="preserve"> </w:t>
      </w:r>
      <w:r>
        <w:t xml:space="preserve">(dezembro a Carnaval), uma vantagem específica da QIMO a testar.</w:t>
      </w:r>
    </w:p>
    <w:p>
      <w:pPr>
        <w:pStyle w:val="FirstParagraph"/>
      </w:pPr>
      <w:r>
        <w:t xml:space="preserve">Economia do inverno (ESTIMATIVA):</w:t>
      </w:r>
    </w:p>
    <w:p>
      <w:pPr>
        <w:numPr>
          <w:ilvl w:val="0"/>
          <w:numId w:val="1013"/>
        </w:numPr>
        <w:pStyle w:val="Compact"/>
      </w:pPr>
      <w:r>
        <w:t xml:space="preserve">Cada ida e volta custa</w:t>
      </w:r>
      <w:r>
        <w:t xml:space="preserve"> </w:t>
      </w:r>
      <w:r>
        <w:rPr>
          <w:bCs/>
          <w:b/>
        </w:rPr>
        <w:t xml:space="preserve">2–4 semanas de receita perdidas</w:t>
      </w:r>
      <w:r>
        <w:t xml:space="preserve">, mais ≈ €0,1–0,2 M de combustível, tripulação e seguro.</w:t>
      </w:r>
    </w:p>
    <w:p>
      <w:pPr>
        <w:numPr>
          <w:ilvl w:val="0"/>
          <w:numId w:val="1013"/>
        </w:numPr>
        <w:pStyle w:val="Compact"/>
      </w:pPr>
      <w:r>
        <w:t xml:space="preserve">Com 10–12 semanas vendidas no destino, a uma tarifa de inverno ≈ 30% menor (SeaDream: Caribe a US$630 k contra Med a US$950 k, CONFIRMADO), a margem incremental é de</w:t>
      </w:r>
      <w:r>
        <w:t xml:space="preserve"> </w:t>
      </w:r>
      <w:r>
        <w:rPr>
          <w:bCs/>
          <w:b/>
        </w:rPr>
        <w:t xml:space="preserve">≈ €1,3–1,7 M/ano</w:t>
      </w:r>
      <w:r>
        <w:t xml:space="preserve"> </w:t>
      </w:r>
      <w:r>
        <w:t xml:space="preserve">num navio de 72 pax.</w:t>
      </w:r>
    </w:p>
    <w:p>
      <w:pPr>
        <w:numPr>
          <w:ilvl w:val="0"/>
          <w:numId w:val="1013"/>
        </w:numPr>
        <w:pStyle w:val="Compact"/>
      </w:pPr>
      <w:r>
        <w:t xml:space="preserve">Isso leva a utilização total a</w:t>
      </w:r>
      <w:r>
        <w:t xml:space="preserve"> </w:t>
      </w:r>
      <w:r>
        <w:rPr>
          <w:bCs/>
          <w:b/>
        </w:rPr>
        <w:t xml:space="preserve">36–40 semanas</w:t>
      </w:r>
      <w:r>
        <w:t xml:space="preserve">, acima do ponto de cruzamento de 32 semanas do navio usado.</w:t>
      </w:r>
    </w:p>
    <w:p>
      <w:pPr>
        <w:pStyle w:val="FirstParagraph"/>
      </w:pPr>
      <w:r>
        <w:rPr>
          <w:bCs/>
          <w:b/>
        </w:rPr>
        <w:t xml:space="preserve">O programa de inverno é a condição que torna a propriedade viável.</w:t>
      </w:r>
      <w:r>
        <w:t xml:space="preserve"> </w:t>
      </w:r>
      <w:r>
        <w:t xml:space="preserve">Ele precisa estar contratado, não ser apenas uma hipótese.</w:t>
      </w:r>
    </w:p>
    <w:p>
      <w:r>
        <w:pict>
          <v:rect style="width:0;height:1.5pt" o:hralign="center" o:hrstd="t" o:hr="t"/>
        </w:pict>
      </w:r>
    </w:p>
    <w:bookmarkEnd w:id="39"/>
    <w:bookmarkStart w:id="42" w:name="receita"/>
    <w:p>
      <w:pPr>
        <w:pStyle w:val="Heading1"/>
      </w:pPr>
      <w:r>
        <w:t xml:space="preserve">6. Receita</w:t>
      </w:r>
    </w:p>
    <w:bookmarkStart w:id="40" w:name="linhas-comerciais"/>
    <w:p>
      <w:pPr>
        <w:pStyle w:val="Heading2"/>
      </w:pPr>
      <w:r>
        <w:t xml:space="preserve">6.1 Linhas comerciais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Mecânica no 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QIMO Own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Semanas QIMO pagas à SPV a preço de mercado (preço de transferência arm’s length)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Conservador 6 / Base 8 / Otimista 12 semanas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Third-party charter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Empresas, operadores, agências, famílias, eventos corporativos e destination weddings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Tarifa de mercado menos 15% de comissão de broker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Cabin 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Venda por cabine em 4 semanas de ombro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Ocupação de 65–85%; preço por passageiro com 15% de comissão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Receita a bordo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Margem sobre bebidas premium, spa e extras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€150/pax-semana</w:t>
            </w:r>
          </w:p>
        </w:tc>
      </w:tr>
    </w:tbl>
    <w:bookmarkEnd w:id="40"/>
    <w:bookmarkStart w:id="41" w:name="preços-de-mercado-confirmados-e-cenários"/>
    <w:p>
      <w:pPr>
        <w:pStyle w:val="Heading2"/>
      </w:pPr>
      <w:r>
        <w:t xml:space="preserve">6.2 Preços de mercado (CONFIRMADOS) e cenários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Produto comparável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 por pax para 7 noites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Variety Grécia (Galileo, Harmony, Panorama)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US$2.702–4.655 (€2,3–4,0 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Variety Voyager (out/2026)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partir de US$4.250 (€3,7 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Katarina Line Deluxe Superior (Croácia)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€2.240–2.480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 Cloud Spirit (Med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US$5.400–5.790 (€4,7–5,0 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Emerald Azzurra (Grécia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US$6.984–10.821 (€6,1–9,4 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Ponant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partir de €10.817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SeaDream (Grécia, set/2026)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US$11.537–16.451 (€10,0–14,3 k)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Cenário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Multiplicador de tarifa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Tarifa C novo/usado por 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 por pax (cabine, C novo)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Conservador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€270 k / €243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€4.320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€300 k / €270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€4.800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Premium/Otimista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€330 k / €297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€5.280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3" w:name="ocupação-impacto-da-utilização"/>
    <w:p>
      <w:pPr>
        <w:pStyle w:val="Heading1"/>
      </w:pPr>
      <w:r>
        <w:t xml:space="preserve">7. Ocupação: impacto da utilização</w:t>
      </w:r>
    </w:p>
    <w:p>
      <w:pPr>
        <w:pStyle w:val="FirstParagraph"/>
      </w:pPr>
      <w:r>
        <w:t xml:space="preserve">Cenário Base, ano de regime, em € de 2026 (aba Sensib_Semanas).</w:t>
      </w:r>
    </w:p>
    <w:p>
      <w:pPr>
        <w:pStyle w:val="BodyText"/>
      </w:pPr>
      <w:r>
        <w:rPr>
          <w:bCs/>
          <w:b/>
        </w:rPr>
        <w:t xml:space="preserve">Comprar usado, 72 pax (CAPEX de €21,4 M; tarifa de €270 k)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Semanas/ano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FCL 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TIR (aprox.)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 próprio por semana vs. tarifa de €270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€2,65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€4,01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−€1,35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−€1,96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−10%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€742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€3,78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€4,28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−€0,50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−€1,10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€513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€4,98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€4,56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€0,42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−€0,18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€399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€6,18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€4,84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€1,34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€0,64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€330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€7,37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€5,11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€2,26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€1,25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€284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€8,57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€5,39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€3,18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€1,86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€252 k</w:t>
            </w:r>
            <w:r>
              <w:t xml:space="preserve"> </w:t>
            </w:r>
            <w:r>
              <w:t xml:space="preserve">(abaixo da tarifa)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Construir novo, 72 pax (CAPEX de €47,7 M; tarifa de €300 k)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Semanas/ano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FCL 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TIR (aprox.)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 próprio por semana vs. tarifa de €300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−€1,01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−€1,69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−10%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€1.075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−€0,03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−€0,72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€735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€1,02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€0,33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€565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€2,06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€1,38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€463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€3,11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€2,10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€395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€4,16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€2,79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€347 k</w:t>
            </w:r>
          </w:p>
        </w:tc>
      </w:tr>
    </w:tbl>
    <w:p>
      <w:pPr>
        <w:pStyle w:val="BodyText"/>
      </w:pPr>
      <w:r>
        <w:rPr>
          <w:bCs/>
          <w:b/>
        </w:rPr>
        <w:t xml:space="preserve">Break-even em semanas de operação por ano (Base)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Possuir = fretar (inclui custo de capital)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novo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13,9–15,8 sem.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41,7 sem.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usado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16,1–18,3 sem.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32,0 sem.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usado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22,4–24,9 sem.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38,3 sem.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usado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27,9–31,3 sem.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49,6 sem.</w:t>
            </w:r>
          </w:p>
        </w:tc>
      </w:tr>
    </w:tbl>
    <w:p>
      <w:pPr>
        <w:pStyle w:val="BodyText"/>
      </w:pPr>
      <w:r>
        <w:rPr>
          <w:iCs/>
          <w:i/>
        </w:rPr>
        <w:t xml:space="preserve">O primeiro valor do break-even de EBITDA considera a tarifa cheia; o segundo, o mix com comissões e cabines.</w:t>
      </w:r>
    </w:p>
    <w:p>
      <w:r>
        <w:pict>
          <v:rect style="width:0;height:1.5pt" o:hralign="center" o:hrstd="t" o:hr="t"/>
        </w:pict>
      </w:r>
    </w:p>
    <w:bookmarkEnd w:id="43"/>
    <w:bookmarkStart w:id="48" w:name="modelo-financeiro-10-anos"/>
    <w:p>
      <w:pPr>
        <w:pStyle w:val="Heading1"/>
      </w:pPr>
      <w:r>
        <w:t xml:space="preserve">8. Modelo financeiro (10 anos)</w:t>
      </w:r>
    </w:p>
    <w:bookmarkStart w:id="44" w:name="premissas-chave"/>
    <w:p>
      <w:pPr>
        <w:pStyle w:val="Heading2"/>
      </w:pPr>
      <w:r>
        <w:t xml:space="preserve">8.1 Premissas-chave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Premissa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Inflação de tarifas / custos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2,5% / 3,0% a.a.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Hurdle (taxa de desconto em 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Imposto (CFC Brasil)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34% sobre EBIT positivo, sem compensação de prejuízos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PREMISSA (conservadora)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Depreciação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até o valor residual em 10 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 residual (novo / usado)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55% / 50% do CAPEX (Base)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(45–65% em mercado normal)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Ramp-up do ano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 das semanas (Base)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Desembolso da construção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/ 20% / 60% (anos −2 / −1 /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(prática de mercado)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Cenário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MGO (US$/t)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 (novo / usado)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Conservador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×0,90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×1,10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45% / 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×1,00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×1,00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55% / 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Otimista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×1,10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×0,95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 / 60%</w:t>
            </w:r>
          </w:p>
        </w:tc>
      </w:tr>
    </w:tbl>
    <w:bookmarkEnd w:id="44"/>
    <w:bookmarkStart w:id="45" w:name="X79cb58c19c2b0183d7929aa844a8a9803b3c103"/>
    <w:p>
      <w:pPr>
        <w:pStyle w:val="Heading2"/>
      </w:pPr>
      <w:r>
        <w:t xml:space="preserve">8.2 Projeção: comprar usado, 72 pax, cenário Base (€ mil)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OPEX variável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(1.221)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(1.480)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(1.525)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(1.570)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(1.617)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(1.666)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(1.716)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(1.767)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(1.820)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(1.875)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OPEX fixo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(3.454)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(3.557)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(3.664)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(3.774)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(3.887)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(4.124)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(4.248)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(4.375)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(4.506)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1.538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1.551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1.564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1.577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1.588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1.600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1.611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1.621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1.630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Impostos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(159)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(172)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(184)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(191)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Docagens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(477)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(1.126)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(1.435)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CAPEX de manutenção e refurb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(1.240)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(263)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(271)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(279)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CAPEX inicial / residual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(21.400)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10.700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FCL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(21.400)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10.425</w:t>
            </w:r>
          </w:p>
        </w:tc>
      </w:tr>
    </w:tbl>
    <w:p>
      <w:pPr>
        <w:pStyle w:val="BodyText"/>
      </w:pPr>
      <w:r>
        <w:rPr>
          <w:bCs/>
          <w:b/>
        </w:rPr>
        <w:t xml:space="preserve">TIR de −2,7% · VPL de −€13,1 M · ROI de −20% · ROIC médio de 1,4% · payback &gt; 10 anos.</w:t>
      </w:r>
    </w:p>
    <w:bookmarkEnd w:id="45"/>
    <w:bookmarkStart w:id="46" w:name="X80b95765891cd608541686f28918084ad69dea8"/>
    <w:p>
      <w:pPr>
        <w:pStyle w:val="Heading2"/>
      </w:pPr>
      <w:r>
        <w:t xml:space="preserve">8.3 Projeção: construir novo, 72 pax, cenário Base (€ mil)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6.072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EBITDA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(9.542)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(9.542)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(28.625)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(151)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27.049</w:t>
            </w:r>
          </w:p>
        </w:tc>
      </w:tr>
    </w:tbl>
    <w:p>
      <w:pPr>
        <w:pStyle w:val="BodyText"/>
      </w:pPr>
      <w:r>
        <w:t xml:space="preserve">O ano 10 inclui um residual de €26,2 M.</w:t>
      </w:r>
      <w:r>
        <w:t xml:space="preserve"> </w:t>
      </w:r>
      <w:r>
        <w:rPr>
          <w:bCs/>
          <w:b/>
        </w:rPr>
        <w:t xml:space="preserve">TIR de −1,7% · VPL de −€31,5 M · ROI de −15% · ROIC médio de 0,3% · payback &gt; 10 anos.</w:t>
      </w:r>
    </w:p>
    <w:bookmarkEnd w:id="46"/>
    <w:bookmarkStart w:id="47" w:name="Xcd7816a5047c3c086ef8e030a7a18e9893dc0ff"/>
    <w:p>
      <w:pPr>
        <w:pStyle w:val="Heading2"/>
      </w:pPr>
      <w:r>
        <w:t xml:space="preserve">8.4 Resumo das 18 combinações (6 opções × 3 cenários)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 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VPL</w:t>
            </w:r>
            <w:r>
              <w:t xml:space="preserve"> </w:t>
            </w:r>
            <w:r>
              <w:t xml:space="preserve">@10</w:t>
            </w: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novo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Cons. /</w:t>
            </w:r>
            <w:r>
              <w:t xml:space="preserve"> </w:t>
            </w:r>
            <w:r>
              <w:rPr>
                <w:bCs/>
                <w:b/>
              </w:rPr>
              <w:t xml:space="preserve">Base</w:t>
            </w:r>
            <w:r>
              <w:t xml:space="preserve"> </w:t>
            </w:r>
            <w:r>
              <w:t xml:space="preserve">/ Otim.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€47,7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−€0,41 /</w:t>
            </w:r>
            <w:r>
              <w:t xml:space="preserve"> </w:t>
            </w:r>
            <w:r>
              <w:rPr>
                <w:bCs/>
                <w:b/>
              </w:rPr>
              <w:t xml:space="preserve">€2,34</w:t>
            </w:r>
            <w:r>
              <w:t xml:space="preserve"> </w:t>
            </w:r>
            <w:r>
              <w:t xml:space="preserve">/ €4,82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−8% /</w:t>
            </w:r>
            <w:r>
              <w:t xml:space="preserve"> </w:t>
            </w:r>
            <w:r>
              <w:rPr>
                <w:bCs/>
                <w:b/>
              </w:rPr>
              <w:t xml:space="preserve">31%</w:t>
            </w:r>
            <w:r>
              <w:t xml:space="preserve"> </w:t>
            </w:r>
            <w:r>
              <w:t xml:space="preserve">/ 49%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−11,9% /</w:t>
            </w:r>
            <w:r>
              <w:t xml:space="preserve"> </w:t>
            </w:r>
            <w:r>
              <w:rPr>
                <w:bCs/>
                <w:b/>
              </w:rPr>
              <w:t xml:space="preserve">−1,7%</w:t>
            </w:r>
            <w:r>
              <w:t xml:space="preserve"> </w:t>
            </w:r>
            <w:r>
              <w:t xml:space="preserve">/ +3,2%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−€50,6 /</w:t>
            </w:r>
            <w:r>
              <w:t xml:space="preserve"> </w:t>
            </w:r>
            <w:r>
              <w:rPr>
                <w:bCs/>
                <w:b/>
              </w:rPr>
              <w:t xml:space="preserve">−€31,5</w:t>
            </w:r>
            <w:r>
              <w:t xml:space="preserve"> </w:t>
            </w:r>
            <w:r>
              <w:t xml:space="preserve">/ −€19,7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usado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Cons. /</w:t>
            </w:r>
            <w:r>
              <w:t xml:space="preserve"> </w:t>
            </w:r>
            <w:r>
              <w:rPr>
                <w:bCs/>
                <w:b/>
              </w:rPr>
              <w:t xml:space="preserve">Base</w:t>
            </w:r>
            <w:r>
              <w:t xml:space="preserve"> </w:t>
            </w:r>
            <w:r>
              <w:t xml:space="preserve">/ Otim.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€21,4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−€0,97 /</w:t>
            </w:r>
            <w:r>
              <w:t xml:space="preserve"> </w:t>
            </w:r>
            <w:r>
              <w:rPr>
                <w:bCs/>
                <w:b/>
              </w:rPr>
              <w:t xml:space="preserve">€1,55</w:t>
            </w:r>
            <w:r>
              <w:t xml:space="preserve"> </w:t>
            </w:r>
            <w:r>
              <w:t xml:space="preserve">/ €3,81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−21% /</w:t>
            </w:r>
            <w:r>
              <w:t xml:space="preserve"> </w:t>
            </w:r>
            <w:r>
              <w:rPr>
                <w:bCs/>
                <w:b/>
              </w:rPr>
              <w:t xml:space="preserve">23%</w:t>
            </w:r>
            <w:r>
              <w:t xml:space="preserve"> </w:t>
            </w:r>
            <w:r>
              <w:t xml:space="preserve">/ 43%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neg. /</w:t>
            </w:r>
            <w:r>
              <w:t xml:space="preserve"> </w:t>
            </w:r>
            <w:r>
              <w:rPr>
                <w:bCs/>
                <w:b/>
              </w:rPr>
              <w:t xml:space="preserve">−2,7%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+7,5%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−€29,3 /</w:t>
            </w:r>
            <w:r>
              <w:t xml:space="preserve"> </w:t>
            </w:r>
            <w:r>
              <w:rPr>
                <w:bCs/>
                <w:b/>
              </w:rPr>
              <w:t xml:space="preserve">−€13,1</w:t>
            </w:r>
            <w:r>
              <w:t xml:space="preserve"> </w:t>
            </w:r>
            <w:r>
              <w:t xml:space="preserve">/ −€2,8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 / &gt; 10 / 9,6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novo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Cons. /</w:t>
            </w:r>
            <w:r>
              <w:t xml:space="preserve"> </w:t>
            </w:r>
            <w:r>
              <w:rPr>
                <w:bCs/>
                <w:b/>
              </w:rPr>
              <w:t xml:space="preserve">Base</w:t>
            </w:r>
            <w:r>
              <w:t xml:space="preserve"> </w:t>
            </w:r>
            <w:r>
              <w:t xml:space="preserve">/ Otim.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€31,9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−€1,07 /</w:t>
            </w:r>
            <w:r>
              <w:t xml:space="preserve"> </w:t>
            </w:r>
            <w:r>
              <w:rPr>
                <w:bCs/>
                <w:b/>
              </w:rPr>
              <w:t xml:space="preserve">€0,57</w:t>
            </w:r>
            <w:r>
              <w:t xml:space="preserve"> </w:t>
            </w:r>
            <w:r>
              <w:t xml:space="preserve">/ €2,03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−37% /</w:t>
            </w:r>
            <w:r>
              <w:t xml:space="preserve"> </w:t>
            </w:r>
            <w:r>
              <w:rPr>
                <w:bCs/>
                <w:b/>
              </w:rPr>
              <w:t xml:space="preserve">13%</w:t>
            </w:r>
            <w:r>
              <w:t xml:space="preserve"> </w:t>
            </w:r>
            <w:r>
              <w:t xml:space="preserve">/ 36%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neg. /</w:t>
            </w:r>
            <w:r>
              <w:t xml:space="preserve"> </w:t>
            </w:r>
            <w:r>
              <w:rPr>
                <w:bCs/>
                <w:b/>
              </w:rPr>
              <w:t xml:space="preserve">−5,8%</w:t>
            </w:r>
            <w:r>
              <w:t xml:space="preserve"> </w:t>
            </w:r>
            <w:r>
              <w:t xml:space="preserve">/ +0,3%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−€39,0 /</w:t>
            </w:r>
            <w:r>
              <w:t xml:space="preserve"> </w:t>
            </w:r>
            <w:r>
              <w:rPr>
                <w:bCs/>
                <w:b/>
              </w:rPr>
              <w:t xml:space="preserve">−€27,2</w:t>
            </w:r>
            <w:r>
              <w:t xml:space="preserve"> </w:t>
            </w:r>
            <w:r>
              <w:t xml:space="preserve">/ −€18,3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usado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Cons. /</w:t>
            </w:r>
            <w:r>
              <w:t xml:space="preserve"> </w:t>
            </w:r>
            <w:r>
              <w:rPr>
                <w:bCs/>
                <w:b/>
              </w:rPr>
              <w:t xml:space="preserve">Base</w:t>
            </w:r>
            <w:r>
              <w:t xml:space="preserve"> </w:t>
            </w:r>
            <w:r>
              <w:t xml:space="preserve">/ Otim.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€10,6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−€1,37 /</w:t>
            </w:r>
            <w:r>
              <w:t xml:space="preserve"> </w:t>
            </w:r>
            <w:r>
              <w:rPr>
                <w:bCs/>
                <w:b/>
              </w:rPr>
              <w:t xml:space="preserve">€0,11</w:t>
            </w:r>
            <w:r>
              <w:t xml:space="preserve"> </w:t>
            </w:r>
            <w:r>
              <w:t xml:space="preserve">/ €1,43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−53% /</w:t>
            </w:r>
            <w:r>
              <w:t xml:space="preserve"> </w:t>
            </w:r>
            <w:r>
              <w:rPr>
                <w:bCs/>
                <w:b/>
              </w:rPr>
              <w:t xml:space="preserve">3%</w:t>
            </w:r>
            <w:r>
              <w:t xml:space="preserve"> </w:t>
            </w:r>
            <w:r>
              <w:t xml:space="preserve">/ 29%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neg. /</w:t>
            </w:r>
            <w:r>
              <w:t xml:space="preserve"> </w:t>
            </w:r>
            <w:r>
              <w:rPr>
                <w:bCs/>
                <w:b/>
              </w:rPr>
              <w:t xml:space="preserve">−13,6%</w:t>
            </w:r>
            <w:r>
              <w:t xml:space="preserve"> </w:t>
            </w:r>
            <w:r>
              <w:t xml:space="preserve">/ +2,7%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−€20,8 /</w:t>
            </w:r>
            <w:r>
              <w:t xml:space="preserve"> </w:t>
            </w:r>
            <w:r>
              <w:rPr>
                <w:bCs/>
                <w:b/>
              </w:rPr>
              <w:t xml:space="preserve">−€10,9</w:t>
            </w:r>
            <w:r>
              <w:t xml:space="preserve"> </w:t>
            </w:r>
            <w:r>
              <w:t xml:space="preserve">/ −€3,9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novo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Cons. /</w:t>
            </w:r>
            <w:r>
              <w:t xml:space="preserve"> </w:t>
            </w:r>
            <w:r>
              <w:rPr>
                <w:bCs/>
                <w:b/>
              </w:rPr>
              <w:t xml:space="preserve">Base</w:t>
            </w:r>
            <w:r>
              <w:t xml:space="preserve"> </w:t>
            </w:r>
            <w:r>
              <w:t xml:space="preserve">/ Otim.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€27,4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−€1,34 /</w:t>
            </w:r>
            <w:r>
              <w:t xml:space="preserve"> </w:t>
            </w:r>
            <w:r>
              <w:rPr>
                <w:bCs/>
                <w:b/>
              </w:rPr>
              <w:t xml:space="preserve">−€0,12</w:t>
            </w:r>
            <w:r>
              <w:t xml:space="preserve"> </w:t>
            </w:r>
            <w:r>
              <w:t xml:space="preserve">/ €0,95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−64% /</w:t>
            </w:r>
            <w:r>
              <w:t xml:space="preserve"> </w:t>
            </w:r>
            <w:r>
              <w:rPr>
                <w:bCs/>
                <w:b/>
              </w:rPr>
              <w:t xml:space="preserve">−4%</w:t>
            </w:r>
            <w:r>
              <w:t xml:space="preserve"> </w:t>
            </w:r>
            <w:r>
              <w:t xml:space="preserve">/ 23%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neg. /</w:t>
            </w:r>
            <w:r>
              <w:t xml:space="preserve"> </w:t>
            </w:r>
            <w:r>
              <w:rPr>
                <w:bCs/>
                <w:b/>
              </w:rPr>
              <w:t xml:space="preserve">−9,0%</w:t>
            </w:r>
            <w:r>
              <w:t xml:space="preserve"> </w:t>
            </w:r>
            <w:r>
              <w:t xml:space="preserve">/ −2,0%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−€36,0 /</w:t>
            </w:r>
            <w:r>
              <w:t xml:space="preserve"> </w:t>
            </w:r>
            <w:r>
              <w:rPr>
                <w:bCs/>
                <w:b/>
              </w:rPr>
              <w:t xml:space="preserve">−€27,2</w:t>
            </w:r>
            <w:r>
              <w:t xml:space="preserve"> </w:t>
            </w:r>
            <w:r>
              <w:t xml:space="preserve">/ −€19,1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usado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Cons. /</w:t>
            </w:r>
            <w:r>
              <w:t xml:space="preserve"> </w:t>
            </w:r>
            <w:r>
              <w:rPr>
                <w:bCs/>
                <w:b/>
              </w:rPr>
              <w:t xml:space="preserve">Base</w:t>
            </w:r>
            <w:r>
              <w:t xml:space="preserve"> </w:t>
            </w:r>
            <w:r>
              <w:t xml:space="preserve">/ Otim.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€10,0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−€1,45 /</w:t>
            </w:r>
            <w:r>
              <w:t xml:space="preserve"> </w:t>
            </w:r>
            <w:r>
              <w:rPr>
                <w:bCs/>
                <w:b/>
              </w:rPr>
              <w:t xml:space="preserve">−€0,37</w:t>
            </w:r>
            <w:r>
              <w:t xml:space="preserve"> </w:t>
            </w:r>
            <w:r>
              <w:t xml:space="preserve">/ €0,57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−80% /</w:t>
            </w:r>
            <w:r>
              <w:t xml:space="preserve"> </w:t>
            </w:r>
            <w:r>
              <w:rPr>
                <w:bCs/>
                <w:b/>
              </w:rPr>
              <w:t xml:space="preserve">−14%</w:t>
            </w:r>
            <w:r>
              <w:t xml:space="preserve"> </w:t>
            </w:r>
            <w:r>
              <w:t xml:space="preserve">/ 16%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neg. /</w:t>
            </w:r>
            <w:r>
              <w:t xml:space="preserve"> </w:t>
            </w:r>
            <w:r>
              <w:rPr>
                <w:bCs/>
                <w:b/>
              </w:rPr>
              <w:t xml:space="preserve">neg.</w:t>
            </w:r>
            <w:r>
              <w:t xml:space="preserve"> </w:t>
            </w:r>
            <w:r>
              <w:t xml:space="preserve">/ −3,4%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−€20,2 /</w:t>
            </w:r>
            <w:r>
              <w:t xml:space="preserve"> </w:t>
            </w:r>
            <w:r>
              <w:rPr>
                <w:bCs/>
                <w:b/>
              </w:rPr>
              <w:t xml:space="preserve">−€12,9</w:t>
            </w:r>
            <w:r>
              <w:t xml:space="preserve"> </w:t>
            </w:r>
            <w:r>
              <w:t xml:space="preserve">/ −€6,6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</w:t>
            </w:r>
          </w:p>
        </w:tc>
      </w:tr>
    </w:tbl>
    <w:p>
      <w:pPr>
        <w:pStyle w:val="BodyText"/>
      </w:pPr>
      <w:r>
        <w:rPr>
          <w:bCs/>
          <w:b/>
        </w:rPr>
        <w:t xml:space="preserve">Leitura:</w:t>
      </w:r>
      <w:r>
        <w:t xml:space="preserve"> </w:t>
      </w:r>
      <w:r>
        <w:t xml:space="preserve">em nenhuma combinação o VPL é positivo ao hurdle de 10%. O melhor caso (usado, 72 pax, Otimista: 30 semanas, 12 delas QIMO, tarifa +10% e MGO a US$750) entrega TIR de 7,5%.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financiamento"/>
    <w:p>
      <w:pPr>
        <w:pStyle w:val="Heading1"/>
      </w:pPr>
      <w:r>
        <w:t xml:space="preserve">9. Financiamento</w:t>
      </w:r>
    </w:p>
    <w:bookmarkStart w:id="49" w:name="como-o-mercado-financia"/>
    <w:p>
      <w:pPr>
        <w:pStyle w:val="Heading2"/>
      </w:pPr>
      <w:r>
        <w:t xml:space="preserve">9.1 Como o mercado financia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Bancos gregos (2025)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LTV de ≈ 60%; spreads de 1,5–1,9% para armadores médios com garantias fortes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CONFIRMADO (Petrofin, hellenicshippingnews)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1º armador de nicho (caso QIMO)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LTV de 50–60%; prazo de 5–7 anos com perfil de 10–12 e balloon; EURIBOR + 300–450 bps; garantia corporativa, cessão de receitas e seguros; covenants de DSCR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ECA para construção nova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80% do contrato em 12 anos (Lindblad/Ulstein com GIEK; NCLH/Fincantieri com SACE)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CONFIRMADO (SEC 8-K Lindblad)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 &amp; leaseback / bareboat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11–16% do valor por ano (5–7 anos), com opção de compra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Taxas de referência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EURIBOR 3M de 2,45% (jul/2026), futuros ≈ 2,35%; SOFR de 3,87% (1/10/2026)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 all-in usado no modelo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6,0% a.a.</w:t>
            </w:r>
            <w:r>
              <w:t xml:space="preserve">; prazo de 10 anos; balloon de 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PREMISSA</w:t>
            </w:r>
          </w:p>
        </w:tc>
      </w:tr>
    </w:tbl>
    <w:bookmarkEnd w:id="49"/>
    <w:bookmarkStart w:id="50" w:name="simulação-cenário-base"/>
    <w:p>
      <w:pPr>
        <w:pStyle w:val="Heading2"/>
      </w:pPr>
      <w:r>
        <w:t xml:space="preserve">9.2 Simulação (cenário Base)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investido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Serviço da dívida/ano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DSCR 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TIR do acionista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Usado, 72 pax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€21,4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−2,7%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50% /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€10,7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€1,44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0,58x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30% /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€6,4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€2,01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0,41x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Novo, 72 pax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€47,7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−1,7%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50% /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€23,9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€3,20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0,47x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30% /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€14,3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€4,48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0,34x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Usado, 48 pax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/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€5,3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€0,71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negativa</w:t>
            </w:r>
          </w:p>
        </w:tc>
      </w:tr>
    </w:tbl>
    <w:p>
      <w:pPr>
        <w:pStyle w:val="BodyText"/>
      </w:pPr>
      <w:r>
        <w:rPr>
          <w:bCs/>
          <w:b/>
        </w:rPr>
        <w:t xml:space="preserve">Leitura:</w:t>
      </w:r>
    </w:p>
    <w:p>
      <w:pPr>
        <w:numPr>
          <w:ilvl w:val="0"/>
          <w:numId w:val="1014"/>
        </w:numPr>
        <w:pStyle w:val="Compact"/>
      </w:pPr>
      <w:r>
        <w:t xml:space="preserve">Com TIR do projeto abaixo do custo da dívida (6%), a alavancagem</w:t>
      </w:r>
      <w:r>
        <w:t xml:space="preserve"> </w:t>
      </w:r>
      <w:r>
        <w:rPr>
          <w:bCs/>
          <w:b/>
        </w:rPr>
        <w:t xml:space="preserve">destrói valor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Com DSCR abaixo de 1,0x, o projeto</w:t>
      </w:r>
      <w:r>
        <w:t xml:space="preserve"> </w:t>
      </w:r>
      <w:r>
        <w:rPr>
          <w:bCs/>
          <w:b/>
        </w:rPr>
        <w:t xml:space="preserve">não paga a dívida</w:t>
      </w:r>
      <w:r>
        <w:t xml:space="preserve"> </w:t>
      </w:r>
      <w:r>
        <w:t xml:space="preserve">com o caixa operacional. Os bancos exigem 1,2–1,3x; nenhum banco aprovaria o cenário Base sem garantia integral da QIMO.</w:t>
      </w:r>
    </w:p>
    <w:p>
      <w:pPr>
        <w:numPr>
          <w:ilvl w:val="0"/>
          <w:numId w:val="1014"/>
        </w:numPr>
        <w:pStyle w:val="Compact"/>
      </w:pPr>
      <w:r>
        <w:t xml:space="preserve">Com 70% de dívida, o fluxo do acionista fica negativo em</w:t>
      </w:r>
      <w:r>
        <w:t xml:space="preserve"> </w:t>
      </w:r>
      <w:r>
        <w:rPr>
          <w:bCs/>
          <w:b/>
        </w:rPr>
        <w:t xml:space="preserve">€1,4–5,1 M/ano</w:t>
      </w:r>
      <w:r>
        <w:t xml:space="preserve"> </w:t>
      </w:r>
      <w:r>
        <w:t xml:space="preserve">nos anos de docagem e refurb.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comparação-buy-build-charter"/>
    <w:p>
      <w:pPr>
        <w:pStyle w:val="Heading1"/>
      </w:pPr>
      <w:r>
        <w:t xml:space="preserve">10. Comparação Buy × Build × Charter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Critério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Comprar usado (72 pax)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Construir novo (72 pax)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Investimento inicial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€21,4 M (ESTIMATIVA)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€47,7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 CAPEX; €0,7–1,1 M em sinais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até a 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9–15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30–40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Imediato (reserva com 12–18 meses de antecedência)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Médio-alto: casco, retrofit, ocupação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Alto: estaleiro, prazo, capital, ocupação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Baixo: disponibilidade e reajuste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OPEX (ano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€5,2 M/ano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€5,1 M/ano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Embutido na tarifa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Muito baixa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Alta</w:t>
            </w:r>
            <w:r>
              <w:t xml:space="preserve"> </w:t>
            </w:r>
            <w:r>
              <w:t xml:space="preserve">(navio, data, destino, tamanho)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Controle do 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Médio-alto (full charter exclusivo, com co-branding)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Potencial de receita externa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 residual (ano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€10,7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€26,2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Break-even 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16–18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14–16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Semanas para possuir = fretar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ROI em 10 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TIR em 10 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VPL</w:t>
            </w:r>
            <w:r>
              <w:t xml:space="preserve"> </w:t>
            </w:r>
            <w:r>
              <w:t xml:space="preserve">@10</w:t>
            </w: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−€13,1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−€31,5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bookmarkStart w:id="52" w:name="Xea172167577985781ef9dbb8c1a38c7ec719a6d"/>
    <w:p>
      <w:pPr>
        <w:pStyle w:val="Heading2"/>
      </w:pPr>
      <w:r>
        <w:t xml:space="preserve">10.1 O cálculo fundamental: quando possuir fica mais barato que fretar</w:t>
      </w:r>
    </w:p>
    <w:p>
      <w:pPr>
        <w:pStyle w:val="FirstParagraph"/>
      </w:pPr>
      <w:r>
        <w:rPr>
          <w:bCs/>
          <w:b/>
        </w:rPr>
        <w:t xml:space="preserve">w* = (OPEX fixo + custo anual de capital) ÷ (tarifa de charter − custo variável por semana)</w:t>
      </w:r>
    </w:p>
    <w:p>
      <w:pPr>
        <w:pStyle w:val="BodyText"/>
      </w:pPr>
      <w:r>
        <w:t xml:space="preserve">O custo anual de capital é a anuidade do CAPEX, líquido do residual descontado, ao hurdle de 10% em 10 anos, mais o CAPEX médio de manutenção e docagens.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OPEX fixo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 de capital/ano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Variável/semana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novo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€3,39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€6,80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€300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€55 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41,7 semanas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usado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€3,45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€3,42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€270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€55 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32,0 semanas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usado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€2,50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€1,78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€150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€38 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38,3 semanas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usado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€2,09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€1,62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€105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€30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49,6 semanas</w:t>
            </w:r>
          </w:p>
        </w:tc>
      </w:tr>
    </w:tbl>
    <w:p>
      <w:pPr>
        <w:pStyle w:val="BodyText"/>
      </w:pPr>
      <w:r>
        <w:rPr>
          <w:bCs/>
          <w:b/>
        </w:rPr>
        <w:t xml:space="preserve">Inversões úteis para a negociação: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Tarifa necessária para TIR de 10% com 28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 máximo justificável @ 26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 máximo justificável @ 30 semanas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novo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€419 k/semana</w:t>
            </w:r>
            <w:r>
              <w:t xml:space="preserve"> </w:t>
            </w:r>
            <w:r>
              <w:t xml:space="preserve">(+40% vs. mercado)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€12,4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€17,1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usado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€301 k/semana</w:t>
            </w:r>
            <w:r>
              <w:t xml:space="preserve"> </w:t>
            </w:r>
            <w:r>
              <w:t xml:space="preserve">(+11%)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€7,6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€11,5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usado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€191 k/semana</w:t>
            </w:r>
            <w:r>
              <w:t xml:space="preserve"> </w:t>
            </w:r>
            <w:r>
              <w:t xml:space="preserve">(+27%)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€0,2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€2,2 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4" w:name="mercado-de-compra-shortlist"/>
    <w:p>
      <w:pPr>
        <w:pStyle w:val="Heading1"/>
      </w:pPr>
      <w:r>
        <w:t xml:space="preserve">11. Mercado de compra: shortlist</w:t>
      </w:r>
    </w:p>
    <w:p>
      <w:pPr>
        <w:pStyle w:val="FirstParagraph"/>
      </w:pPr>
      <w:r>
        <w:t xml:space="preserve">Detalhes, links e rótulos estão no documento</w:t>
      </w:r>
      <w:r>
        <w:t xml:space="preserve"> </w:t>
      </w:r>
      <w:r>
        <w:rPr>
          <w:iCs/>
          <w:i/>
        </w:rPr>
        <w:t xml:space="preserve">05_Vessel_Market_Scan</w:t>
      </w:r>
      <w:r>
        <w:t xml:space="preserve"> </w:t>
      </w:r>
      <w:r>
        <w:t xml:space="preserve">e no anexo A1.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 / estaleiro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Cab. / pax / trip.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Bandeira / classe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 pedido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€/leito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Aderência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Anúncio #1048634 (nome não divulgado; perfil semelhante ao Galileo, da Variety)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1995, reconstruído em 2007, renovado em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/ 49–50 / 16–18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Grécia / RINA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€7,0 M</w:t>
            </w:r>
            <w:r>
              <w:t xml:space="preserve"> </w:t>
            </w:r>
            <w:r>
              <w:t xml:space="preserve">(CONF.)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€140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Muito 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Anúncio #1064418 (perfil semelhante ao Panorama 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n.i. / 60 / n.i.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Grécia / RINA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€8,0 M</w:t>
            </w:r>
            <w:r>
              <w:t xml:space="preserve"> </w:t>
            </w:r>
            <w:r>
              <w:t xml:space="preserve">(CONF.)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€133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Muito 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Anúncio #1091239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2019, Brodosplit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/ 36 / n.i.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Croácia / CRS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€8,3 M</w:t>
            </w:r>
            <w:r>
              <w:t xml:space="preserve"> </w:t>
            </w:r>
            <w:r>
              <w:t xml:space="preserve">(CONF.)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€231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Solas</w:t>
            </w:r>
            <w:r>
              <w:t xml:space="preserve">”</w:t>
            </w:r>
            <w:r>
              <w:t xml:space="preserve">, veleiro boutique de 210 pés (possível duplicata do #3)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2019, Croácia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~64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/ 36 / n.i.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n.i.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US$10,5 M</w:t>
            </w:r>
            <w:r>
              <w:t xml:space="preserve"> </w:t>
            </w:r>
            <w:r>
              <w:t xml:space="preserve">(€9,1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€254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on Waves (IMO 9589205)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2011, Gdańsk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/ 36–42 / 19–21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Malta / PRS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€17,5 M</w:t>
            </w:r>
            <w:r>
              <w:t xml:space="preserve"> </w:t>
            </w:r>
            <w:r>
              <w:t xml:space="preserve">(CONF.; já pediu €32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€417–486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QPS S2763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/ ~42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US$11 M (est.)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€228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Navio de 42 m / 34 pax (Apollo Duck)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n.i. / 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US$5,25 M (não verificado)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€134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Navio de 143 pés convertido em 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conv. 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43,6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/ 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verificar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Navio boutique de 70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2007, reconstruído em 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25–35 / n.i.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verificar (porte ideal)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Salty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57,6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 / 75 /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n.i. (EUA)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US$2,95 M (€2,6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€34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 (casco antigo)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Navio de 91 m / 44 pax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1989, reconstruído em 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90,6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n.i. / 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EAU / RINA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US$28 M (€24,3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€553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 Sea Bird / Sea Lion (Lindblad)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anos 1980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~46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~31 / 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Saem de operação após out/2026; venda não anunciada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 a média</w:t>
            </w:r>
          </w:p>
        </w:tc>
      </w:tr>
    </w:tbl>
    <w:p>
      <w:pPr>
        <w:pStyle w:val="BodyText"/>
      </w:pPr>
      <w:r>
        <w:rPr>
          <w:bCs/>
          <w:b/>
        </w:rPr>
        <w:t xml:space="preserve">Benchmarks de transações recentes: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Exploris One</w:t>
      </w:r>
      <w:r>
        <w:t xml:space="preserve"> </w:t>
      </w:r>
      <w:r>
        <w:t xml:space="preserve">(132 pax, 1989): leilão judicial por</w:t>
      </w:r>
      <w:r>
        <w:t xml:space="preserve"> </w:t>
      </w:r>
      <w:r>
        <w:rPr>
          <w:bCs/>
          <w:b/>
        </w:rPr>
        <w:t xml:space="preserve">€4,5 M</w:t>
      </w:r>
      <w:r>
        <w:t xml:space="preserve"> </w:t>
      </w:r>
      <w:r>
        <w:t xml:space="preserve">em jan/2026 (≈ €34 k/leito).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Caledonian Sky → Blue Zephyr</w:t>
      </w:r>
      <w:r>
        <w:t xml:space="preserve"> </w:t>
      </w:r>
      <w:r>
        <w:t xml:space="preserve">(114 pax): comprado por armador grego no fim de 2025, a preço não divulgado. Opera cruzeiros boutique nas ilhas gregas desde abril de 2026, a partir de</w:t>
      </w:r>
      <w:r>
        <w:t xml:space="preserve"> </w:t>
      </w:r>
      <w:r>
        <w:rPr>
          <w:bCs/>
          <w:b/>
        </w:rPr>
        <w:t xml:space="preserve">€3.050/pax</w:t>
      </w:r>
      <w:r>
        <w:t xml:space="preserve">.</w:t>
      </w:r>
      <w:r>
        <w:t xml:space="preserve"> </w:t>
      </w:r>
      <w:r>
        <w:rPr>
          <w:bCs/>
          <w:b/>
        </w:rPr>
        <w:t xml:space="preserve">É concorrente direto.</w:t>
      </w:r>
    </w:p>
    <w:p>
      <w:pPr>
        <w:pStyle w:val="FirstParagraph"/>
      </w:pPr>
      <w:r>
        <w:rPr>
          <w:bCs/>
          <w:b/>
        </w:rPr>
        <w:t xml:space="preserve">Conclusão:</w:t>
      </w:r>
      <w:r>
        <w:t xml:space="preserve"> </w:t>
      </w:r>
      <w:r>
        <w:t xml:space="preserve">não há um navio de 72 pax à venda que se encaixe no teto de €11,5 M. Os navios gregos de 49–60 pax (#1 e #2) são as melhores oportunidades reais, mas na configuração B o teto justificável é de ≈ €2,2 M a 30 semanas, muito abaixo dos €7–8 M pedidos.</w:t>
      </w:r>
    </w:p>
    <w:p>
      <w:r>
        <w:pict>
          <v:rect style="width:0;height:1.5pt" o:hralign="center" o:hrstd="t" o:hr="t"/>
        </w:pict>
      </w:r>
    </w:p>
    <w:bookmarkEnd w:id="54"/>
    <w:bookmarkStart w:id="55" w:name="construção-shortlist-de-estaleiros"/>
    <w:p>
      <w:pPr>
        <w:pStyle w:val="Heading1"/>
      </w:pPr>
      <w:r>
        <w:t xml:space="preserve">12. Construção: shortlist de estaleiros</w:t>
      </w:r>
    </w:p>
    <w:p>
      <w:pPr>
        <w:pStyle w:val="FirstParagraph"/>
      </w:pPr>
      <w:r>
        <w:t xml:space="preserve">Detalhes no documento</w:t>
      </w:r>
      <w:r>
        <w:t xml:space="preserve"> </w:t>
      </w:r>
      <w:r>
        <w:rPr>
          <w:iCs/>
          <w:i/>
        </w:rPr>
        <w:t xml:space="preserve">06_Shipyard_Market_Scan</w:t>
      </w:r>
      <w:r>
        <w:t xml:space="preserve"> </w:t>
      </w:r>
      <w:r>
        <w:t xml:space="preserve">e no anexo A2.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Estaleiro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País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Experiência relevante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Faixa de preço provável (72 pax, ESTIMATIVA)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Tersan</w:t>
            </w:r>
            <w:r>
              <w:t xml:space="preserve"> </w:t>
            </w:r>
            <w:r>
              <w:t xml:space="preserve">(Yalova)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Turquia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Havila Castor e Capella (cruzeiro costeiro SOLAS); balsas para a Noruega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24–30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€30–45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Cemre</w:t>
            </w:r>
            <w:r>
              <w:t xml:space="preserve"> </w:t>
            </w:r>
            <w:r>
              <w:t xml:space="preserve">(Yalova)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Turquia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 navios entregues; passageiros SOLAS para CalMac e Molslinjen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20–30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€28–42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Sefine</w:t>
            </w:r>
            <w:r>
              <w:t xml:space="preserve"> </w:t>
            </w:r>
            <w:r>
              <w:t xml:space="preserve">(Yalova)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Turquia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Ro-pax (Fjord1) e balsas para a Noruega, Itália e Holanda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20–28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€28–42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Alia Yachts</w:t>
            </w:r>
            <w:r>
              <w:t xml:space="preserve"> </w:t>
            </w:r>
            <w:r>
              <w:t xml:space="preserve">(Antália)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Turquia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Exploradores de 60 m (Al Waab; projeto Vripack)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24–36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€38–60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Mengi Yay / Bilgin / Proteksan Turquoise / Dunya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Turquia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Superiates de 50–80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24–36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€40–65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Brodosplit</w:t>
            </w:r>
            <w:r>
              <w:t xml:space="preserve"> </w:t>
            </w:r>
            <w:r>
              <w:t xml:space="preserve">(Split)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Croácia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Hondius, Janssonius, Ultramarine; cascos para Katarina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24–30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€32–48 M (risco financeiro)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Radež</w:t>
            </w:r>
            <w:r>
              <w:t xml:space="preserve"> </w:t>
            </w:r>
            <w:r>
              <w:t xml:space="preserve">(Korčula)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Croácia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 Aretis (36 pax, 2025) e mini-cruisers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18–24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€22–32 M (proven &lt; 50 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 Hoop</w:t>
            </w:r>
            <w:r>
              <w:t xml:space="preserve"> </w:t>
            </w:r>
            <w:r>
              <w:t xml:space="preserve">(Lobith)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Silver Origin, Celebrity Flora (100 pax)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20–24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€55–80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West Sea</w:t>
            </w:r>
            <w:r>
              <w:t xml:space="preserve"> </w:t>
            </w:r>
            <w:r>
              <w:t xml:space="preserve">(Viana do Castelo)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Portugal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Explorer/Navigator; R Yacht Sefu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24–30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€40–58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 Long Shipbuilding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Vietnã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Emerald Azzurra, Sakara, Kaia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22–30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€28–40 M, mais a entrega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Vard Vung Tau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Vietnã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Coral Adventurer e Geographer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20–24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€35–50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T. Mariotti</w:t>
            </w:r>
            <w:r>
              <w:t xml:space="preserve"> </w:t>
            </w:r>
            <w:r>
              <w:t xml:space="preserve">(Gênova)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Itália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Seabourn Venture/Pursuit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24–30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€60–85 M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Recomendação, se um dia houver construção:</w:t>
      </w:r>
      <w:r>
        <w:t xml:space="preserve"> </w:t>
      </w:r>
      <w:r>
        <w:rPr>
          <w:bCs/>
          <w:b/>
        </w:rPr>
        <w:t xml:space="preserve">Turquia.</w:t>
      </w:r>
      <w:r>
        <w:t xml:space="preserve"> </w:t>
      </w:r>
      <w:r>
        <w:t xml:space="preserve">Combinar um estaleiro com histórico SOLAS de passageiros (Tersan, Cemre ou Sefine) com um outfitter de interiores de iate e um naval architect do norte da Europa.</w:t>
      </w:r>
    </w:p>
    <w:p>
      <w:pPr>
        <w:numPr>
          <w:ilvl w:val="0"/>
          <w:numId w:val="1016"/>
        </w:numPr>
        <w:pStyle w:val="Compact"/>
      </w:pPr>
      <w:r>
        <w:t xml:space="preserve">O índice de custo da Turquia é de 0,65–0,80 vs. Holanda (mão de obra a ≈ 40% da europeia).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Refund guarantee de banco de primeira linha é indispensável.</w:t>
      </w:r>
      <w:r>
        <w:t xml:space="preserve"> </w:t>
      </w:r>
      <w:r>
        <w:t xml:space="preserve">O Sea Cloud Spirit levou 13 anos por falência do estaleiro.</w:t>
      </w:r>
    </w:p>
    <w:p>
      <w:r>
        <w:pict>
          <v:rect style="width:0;height:1.5pt" o:hralign="center" o:hrstd="t" o:hr="t"/>
        </w:pict>
      </w:r>
    </w:p>
    <w:bookmarkEnd w:id="55"/>
    <w:bookmarkStart w:id="56" w:name="design-conceitual"/>
    <w:p>
      <w:pPr>
        <w:pStyle w:val="Heading1"/>
      </w:pPr>
      <w:r>
        <w:t xml:space="preserve">13. Design conceitual</w:t>
      </w:r>
    </w:p>
    <w:p>
      <w:pPr>
        <w:pStyle w:val="FirstParagraph"/>
      </w:pPr>
      <w:r>
        <w:t xml:space="preserve">Resumo; o brief completo está no documento</w:t>
      </w:r>
      <w:r>
        <w:t xml:space="preserve"> </w:t>
      </w:r>
      <w:r>
        <w:rPr>
          <w:iCs/>
          <w:i/>
        </w:rPr>
        <w:t xml:space="preserve">07_Concept_Brief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Casco e porte:</w:t>
      </w:r>
      <w:r>
        <w:t xml:space="preserve"> </w:t>
      </w:r>
      <w:r>
        <w:t xml:space="preserve">≈ 62–66 m LOA, ≈ 11,5–12 m de boca, ≈ 1.500–1.700 GT. Aço, superestrutura em alumínio. Navio de passageiros SOLAS,</w:t>
      </w:r>
      <w:r>
        <w:t xml:space="preserve"> </w:t>
      </w:r>
      <w:r>
        <w:rPr>
          <w:iCs/>
          <w:i/>
        </w:rPr>
        <w:t xml:space="preserve">Safe Return to Port</w:t>
      </w:r>
      <w:r>
        <w:t xml:space="preserve"> </w:t>
      </w:r>
      <w:r>
        <w:t xml:space="preserve">quando aplicável. Classe BV, RINA, LR ou DNV.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Configuração de cabines recomendada (36 cabines / 72 leitos):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28 cabines standard</w:t>
      </w:r>
      <w:r>
        <w:t xml:space="preserve"> </w:t>
      </w:r>
      <w:r>
        <w:t xml:space="preserve">de 18–20 m², sendo 8 conectáveis para famílias;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6 suítes</w:t>
      </w:r>
      <w:r>
        <w:t xml:space="preserve"> </w:t>
      </w:r>
      <w:r>
        <w:t xml:space="preserve">de 26–30 m² com varanda;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2 master suites</w:t>
      </w:r>
      <w:r>
        <w:t xml:space="preserve"> </w:t>
      </w:r>
      <w:r>
        <w:t xml:space="preserve">de 40–45 m² na proa do deck superior.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Por que essa configuração:</w:t>
      </w:r>
      <w:r>
        <w:t xml:space="preserve"> </w:t>
      </w:r>
      <w:r>
        <w:t xml:space="preserve">a proposta original (30 + 4 + 2) é viável. Trocar 2 standard por 2 suítes aumenta a receita de cabine em ≈ 3–4% com o mesmo número de leitos, e as cabines conectáveis atendem o segmento famílias da QIMO.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 deck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 externo, área de DJ e eventos, solarium, jacuzzi, academia ao ar livre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Bridge deck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Passadiço, 2 master suites, 6 suítes, lounge panorâmico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Upper deck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cabines standard, lounge/bar principal, biblioteca/cigar &amp; wine 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 deck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cabines standard, restaurante (72 lugares, uma sessão), recepção, spa (2 salas)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Lower deck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Cozinha, câmaras frias, lavanderia, crew quarters (14 cabines duplas + 2 singles para comandante e chefe de máquinas), praça de máquinas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de marina hidráulica, garagem de tenders e toys, área de embarque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X9755d40bba4dd26abd39da475911cab2e6d70e7"/>
    <w:p>
      <w:pPr>
        <w:pStyle w:val="Heading1"/>
      </w:pPr>
      <w:r>
        <w:t xml:space="preserve">14. Diferencial QIMO: o hotel boutique flutuante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Uplift potencial no preço por pax (ESTIMATIVA)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Gastronomia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Chefs convidados e menus de terroir grego, croata e italiano; mercado local com o chef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+5–10%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Vinhos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Semanas temáticas com produtores (Santorini Assyrtiko, Naoussa, Dalmácia, Etna); sommelier a bordo; harmonizações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+5–10%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DJ e sunset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 residente; festas ao pôr do sol em enseadas privadas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+3–5%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Beach clubs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passes negociados (Mykonos, Hvar, Bodrum) e beach club privado na enseada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+3–5%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Experiências em terra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Acesso exclusivo: sítios arqueológicos fora do horário, vinícolas privadas, casas de colecionadores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+5–10%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Esportes aquáticos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Marina com e-foils, SUP, caiaques, mergulho e wakeboard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+2–4%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Famílias, kids &amp; teens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Semanas família com monitores e programação teen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Amplia a demanda (ocupação)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Semanas de yoga, pilates e retiro, com spa e chef de nutrição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+5–8%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Corporativo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Incentivos, convenções boutique e board retreats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Tarifa de charter cheia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Temáticas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Arte, arqueologia, vela, fotografia, gastronomia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+5–10%</w:t>
            </w:r>
          </w:p>
        </w:tc>
      </w:tr>
    </w:tbl>
    <w:p>
      <w:pPr>
        <w:pStyle w:val="BodyText"/>
      </w:pPr>
      <w:r>
        <w:rPr>
          <w:bCs/>
          <w:b/>
        </w:rPr>
        <w:t xml:space="preserve">Leitura:</w:t>
      </w:r>
      <w:r>
        <w:t xml:space="preserve"> </w:t>
      </w:r>
      <w:r>
        <w:t xml:space="preserve">pacotes curados podem elevar o preço por passageiro de</w:t>
      </w:r>
      <w:r>
        <w:t xml:space="preserve"> </w:t>
      </w:r>
      <w:r>
        <w:rPr>
          <w:bCs/>
          <w:b/>
        </w:rPr>
        <w:t xml:space="preserve">€4,8 k para €6–7 k</w:t>
      </w:r>
      <w:r>
        <w:t xml:space="preserve"> </w:t>
      </w:r>
      <w:r>
        <w:t xml:space="preserve">(+25–45%), na faixa de Emerald e Sea Cloud.</w:t>
      </w:r>
      <w:r>
        <w:t xml:space="preserve"> </w:t>
      </w:r>
      <w:r>
        <w:rPr>
          <w:bCs/>
          <w:b/>
        </w:rPr>
        <w:t xml:space="preserve">Esse valor é capturado igualmente com navio fretado em full charter.</w:t>
      </w:r>
      <w:r>
        <w:t xml:space="preserve"> </w:t>
      </w:r>
      <w:r>
        <w:t xml:space="preserve">É o principal argumento para a QIMO concentrar capital e energia no produto, não no ativo.</w:t>
      </w:r>
    </w:p>
    <w:p>
      <w:r>
        <w:pict>
          <v:rect style="width:0;height:1.5pt" o:hralign="center" o:hrstd="t" o:hr="t"/>
        </w:pict>
      </w:r>
    </w:p>
    <w:bookmarkEnd w:id="57"/>
    <w:bookmarkStart w:id="58" w:name="matriz-de-riscos"/>
    <w:p>
      <w:pPr>
        <w:pStyle w:val="Heading1"/>
      </w:pPr>
      <w:r>
        <w:t xml:space="preserve">15. Matriz de riscos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Ocupação abaixo de 26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Muito alto (cada semana a menos custa ≈ €215–245 k de margem)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2 de charter em bloco para medir a demanda; pré-venda B2B; programa de inverno contratado antes da compra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Financeiro: TIR abaixo do hurdle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comprar acima do teto; não alavancar acima de 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Combustível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Média-alta (MGO de US$690 a US$1.657/t em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 (±€0,3–0,4 M/ano)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Cláusula de bunker adjustment no charter; hedge; velocidade econômica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Tripulação (escassez de oficiais de passageiros)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Gestor técnico com pool de tripulação; contratos de 2 anos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Regulação (cabotagem, taxa de cruzeiro grega, limites portuários)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Bandeira UE; itinerários com portos alternativos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Acidentes e responsabilidade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Muito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P&amp;I de clube IG; cobertura de Atenas/PLR; ISM robusto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Manutenção e casco (usado)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Inspeção pré-compra com classe; docagem antes do fechamento; contingência de 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Sazonalidade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 Grécia, Croácia e Itália; inverno no Caribe/Seychelles apenas se contratado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Câmbio (receita em BRL, custos em 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Médio-alto (R$ 5,85 → 6,30 = −7%)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Precificar em €; hedge cambial; receitas de terceiros em €/US$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Geopolítica (Oriente Médio, Mar Vermelho, Turquia)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Evitar o Mar Vermelho; seguro de guerra; flexibilidade de rota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Seguro (endurecimento do mercado)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Corretora especializada; franquias maiores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Financiamento (indisponível ou caro)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para 1º armador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primeiro; financiar somente com histórico operacional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 residual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 (±€5–10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Comprar barato; manter classe; vender em ciclo de 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Estaleiro (atraso ou falência)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Muito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Refund guarantee; estaleiro com histórico SOLAS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Concorrência (Blue Zephyr, Variety, Emerald)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Diferenciação QIMO; foco no mercado brasileiro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estratégia-de-entrada-gradual"/>
    <w:p>
      <w:pPr>
        <w:pStyle w:val="Heading1"/>
      </w:pPr>
      <w:r>
        <w:t xml:space="preserve">16. Estratégia de entrada gradual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Gatilho para a próxima fase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Charter de terceiros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charter de navios Variety-class (Voyager para 72 pax; Galileo/Harmony para 48 pax), com conteúdo, marca e equipe de experiência QIMO a bordo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 CAPEX; sinais de €0,3–0,5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 semanas vendidas com margem-alvo e NPS 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Charter de longo prazo / 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2028–2029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Bloco de 8–12 semanas/ano por 3 anos, com desconto de 10–20%, branding QIMO e prioridade de datas. Opção de co-investir num refit em troca de exclusividade (precedente: Unforgettable Croatia pagou 20% da construção do MV Aretis por exclusividade até 2027)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€0–2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12 semanas QIMO/ano por 2 anos e ≥ 18 semanas de terceiros/inverno pré-vendidas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Aquisição de usado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Navio de 60–72 pax, bandeira UE, comprado em condição de estresse (leilão, armador em dificuldade), com gestor técnico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€11,5 M all-in</w:t>
            </w:r>
            <w:r>
              <w:t xml:space="preserve">; equity ≥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anos de operação com ≥ 32 semanas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Construção QIMO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antes de 2032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Somente se houver ≥ 40 semanas/ano ou tarifa realizada ≥ €420 k/semana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€45–50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A estratégia gradual reduz o risco?</w:t>
      </w:r>
      <w:r>
        <w:t xml:space="preserve"> </w:t>
      </w:r>
      <w:r>
        <w:t xml:space="preserve">Sim, por três razões:</w:t>
      </w:r>
    </w:p>
    <w:p>
      <w:pPr>
        <w:numPr>
          <w:ilvl w:val="0"/>
          <w:numId w:val="1019"/>
        </w:numPr>
        <w:pStyle w:val="Compact"/>
      </w:pPr>
      <w:r>
        <w:t xml:space="preserve">Converte a principal incógnita (a demanda real da QIMO em semanas) em dado antes de imobilizar capital.</w:t>
      </w:r>
    </w:p>
    <w:p>
      <w:pPr>
        <w:numPr>
          <w:ilvl w:val="0"/>
          <w:numId w:val="1019"/>
        </w:numPr>
        <w:pStyle w:val="Compact"/>
      </w:pPr>
      <w:r>
        <w:t xml:space="preserve">Preserva a opcionalidade: o mercado de usados tem vendas forçadas periódicas (Exploris One, Silver Galapagos de US$20 M para US$3,5 M na pandemia).</w:t>
      </w:r>
    </w:p>
    <w:p>
      <w:pPr>
        <w:numPr>
          <w:ilvl w:val="0"/>
          <w:numId w:val="1019"/>
        </w:numPr>
        <w:pStyle w:val="Compact"/>
      </w:pPr>
      <w:r>
        <w:t xml:space="preserve">Captura já o valor de marca e produto, que independe da propriedade.</w:t>
      </w:r>
    </w:p>
    <w:p>
      <w:r>
        <w:pict>
          <v:rect style="width:0;height:1.5pt" o:hralign="center" o:hrstd="t" o:hr="t"/>
        </w:pict>
      </w:r>
    </w:p>
    <w:bookmarkEnd w:id="59"/>
    <w:bookmarkStart w:id="62" w:name="recomendação-final"/>
    <w:p>
      <w:pPr>
        <w:pStyle w:val="Heading1"/>
      </w:pPr>
      <w:r>
        <w:t xml:space="preserve">17. Recomendação final</w:t>
      </w:r>
    </w:p>
    <w:bookmarkStart w:id="60" w:name="X1b5a63225079d957b8dab941434ceb2423c93a0"/>
    <w:p>
      <w:pPr>
        <w:pStyle w:val="Heading2"/>
      </w:pPr>
      <w:r>
        <w:t xml:space="preserve">CONTINUE CHARTERING, com estratégia gradual e gatilhos de compra de usado. Não construir.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baseada no modelo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Quanto precisamos investir?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Agora: €0 de CAPEX</w:t>
            </w:r>
            <w:r>
              <w:t xml:space="preserve">, com ≈ €0,7–1,1 M de sinais para 8 semanas de charter. Na Fase 3, até €11,5 M all-in. O navio usado de 72 pax a preço de mercado custaria €21,4 M; o novo, €47,7 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Melhor tamanho de navio?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Configuração C</w:t>
            </w:r>
            <w:r>
              <w:t xml:space="preserve">, ≈ 62–68 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Quantas cabines?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36</w:t>
            </w:r>
            <w:r>
              <w:t xml:space="preserve"> </w:t>
            </w:r>
            <w:r>
              <w:t xml:space="preserve">(28 standard + 6 suítes + 2 master suites).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Quantos passageiros?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OPEX anual?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€5,1–5,2 M</w:t>
            </w:r>
            <w:r>
              <w:t xml:space="preserve"> </w:t>
            </w:r>
            <w:r>
              <w:t xml:space="preserve">a 26 semanas (fixo de €3,4–3,5 M + €55 k por semana).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Receita anual esperada?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€6,7 M (usado) a €7,5 M (novo)</w:t>
            </w:r>
            <w:r>
              <w:t xml:space="preserve"> </w:t>
            </w:r>
            <w:r>
              <w:t xml:space="preserve">a 26 semanas; €8,8–9,7 M no Otimista.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Quantas semanas precisamos operar?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32/ano</w:t>
            </w:r>
            <w:r>
              <w:t xml:space="preserve"> </w:t>
            </w:r>
            <w:r>
              <w:t xml:space="preserve">para empatar com o charter (usado); ≥ 42 (novo). O EBITDA fica positivo a partir de 16–18.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Break-even?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EBITDA: 16–18 semanas. Econômico (com custo de capital): 32 (usado) / 42 (novo).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 esperado?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€1,6 M (23%) usado / €2,3 M (31%) novo</w:t>
            </w:r>
            <w:r>
              <w:t xml:space="preserve"> </w:t>
            </w:r>
            <w:r>
              <w:t xml:space="preserve">no ano 3, cenário Base.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TIR em 10 anos?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−2,7% (usado) / −1,7% (novo)</w:t>
            </w:r>
            <w:r>
              <w:t xml:space="preserve">; Otimista +7,5% / +3,2%; hurdle de 10%.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Payback?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&gt; 10 anos</w:t>
            </w:r>
            <w:r>
              <w:t xml:space="preserve"> </w:t>
            </w:r>
            <w:r>
              <w:t xml:space="preserve">(Base); 9,6 anos no melhor caso.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do navio em 10 anos?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€26 M (novo, 55%)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≈ €10,7 M (usado, 50%)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Comprar usado ou construir?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Comprar usado</w:t>
            </w:r>
            <w:r>
              <w:t xml:space="preserve">, somente a ≤ €11,5 M e com ≥ 32 semanas contratadas. Construir: não.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qual país construir?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Turquia</w:t>
            </w:r>
            <w:r>
              <w:t xml:space="preserve"> </w:t>
            </w:r>
            <w:r>
              <w:t xml:space="preserve">(Tersan, Cemre ou Sefine, com outfitter de interiores). Alternativas: Portugal (West Sea) e Croácia (Brodosplit, com garantias).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Estrutura societária preliminar?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QIMO Brasil → HoldCo UE (Portugal, pelo tratado, ou Malta) → SPV armadora (Malta ou Madeira-MAR, bandeira UE) → OpCo UE afretadora, com gestor técnico ISM terceirizado. Validar CFC, lista de regimes privilegiados, IVA e cabotagem.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partir de quantas semanas possuir é mais barato que fretar?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32 semanas/ano (usado, 72 pax)</w:t>
            </w:r>
            <w:r>
              <w:t xml:space="preserve">; 38 (usado, 48 pax);</w:t>
            </w:r>
            <w:r>
              <w:t xml:space="preserve"> </w:t>
            </w:r>
            <w:r>
              <w:rPr>
                <w:bCs/>
                <w:b/>
              </w:rPr>
              <w:t xml:space="preserve">42 (novo)</w:t>
            </w:r>
            <w:r>
              <w:t xml:space="preserve">. Acima da temporada mediterrânea de 28–30 semanas.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Próximo passo?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abaixo.</w:t>
            </w:r>
          </w:p>
        </w:tc>
      </w:tr>
    </w:tbl>
    <w:bookmarkEnd w:id="60"/>
    <w:bookmarkStart w:id="61" w:name="próximos-passos-90-dias"/>
    <w:p>
      <w:pPr>
        <w:pStyle w:val="Heading2"/>
      </w:pPr>
      <w:r>
        <w:t xml:space="preserve">Próximos passos (90 dias)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Demanda:</w:t>
      </w:r>
      <w:r>
        <w:t xml:space="preserve"> </w:t>
      </w:r>
      <w:r>
        <w:t xml:space="preserve">levantar o pipeline QIMO 2027–2029 (grupos, tamanho, datas) para quantificar as semanas reais por ano. É o principal driver do modelo.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Charter estruturado:</w:t>
      </w:r>
      <w:r>
        <w:t xml:space="preserve"> </w:t>
      </w:r>
      <w:r>
        <w:t xml:space="preserve">negociar com a Variety Cruises (e ao menos um concorrente: Blue Zephyr ou operadores croatas) um</w:t>
      </w:r>
      <w:r>
        <w:t xml:space="preserve"> </w:t>
      </w:r>
      <w:r>
        <w:rPr>
          <w:bCs/>
          <w:b/>
        </w:rPr>
        <w:t xml:space="preserve">acordo de 3 anos para 8–12 semanas/ano</w:t>
      </w:r>
      <w:r>
        <w:t xml:space="preserve"> </w:t>
      </w:r>
      <w:r>
        <w:t xml:space="preserve">do Voyager ou equivalente, com desconto, branding QIMO e opção de exclusividade.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Watchlist de oportunidades:</w:t>
      </w:r>
      <w:r>
        <w:t xml:space="preserve"> </w:t>
      </w:r>
      <w:r>
        <w:t xml:space="preserve">mandatar um broker de navios de passageiros (por exemplo, GRS/ShipSelector, que concentra 4 dos anúncios relevantes) para monitorar navios de 60–80 pax com teto de €11,5 M e confirmar nomes, IMO, certificados e últimas docagens.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Pré-estudo jurídico-tributário:</w:t>
      </w:r>
      <w:r>
        <w:t xml:space="preserve"> </w:t>
      </w:r>
      <w:r>
        <w:t xml:space="preserve">advogado marítimo (Grécia ou Malta) e tributarista brasileiro (CFC e regimes privilegiados), com escopo de €15–30 k.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Teste de inverno:</w:t>
      </w:r>
      <w:r>
        <w:t xml:space="preserve"> </w:t>
      </w:r>
      <w:r>
        <w:t xml:space="preserve">um grupo QIMO piloto no Caribe ou nas Seychelles em navio fretado (Variety Panorama ou Pegasus), para validar a demanda brasileira de dezembro a fevereiro, que é a condição para a propriedade fazer sentido.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Atualizar o modelo</w:t>
      </w:r>
      <w:r>
        <w:t xml:space="preserve"> </w:t>
      </w:r>
      <w:r>
        <w:t xml:space="preserve">com cotações reais de seguro, gestão técnica e retrofit quando houver um navio-alvo.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Anexos: A1 (navios usados), A2 (estaleiros e construção), A3 (charter e preços), A4 (OPEX, regulação, estrutura e financiamento). Modelo: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QIMO_Navio_Modelo_Financeiro.xlsx</w:t>
      </w:r>
      <w:r>
        <w:rPr>
          <w:iCs/>
          <w:i/>
        </w:rPr>
        <w:t xml:space="preserve">.</w:t>
      </w:r>
    </w:p>
    <w:bookmarkEnd w:id="61"/>
    <w:bookmarkEnd w:id="62"/>
    <w:sectPr>
      <w:pgMar w:bottom="1134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mbria" w:asciiTheme="majorHAnsi" w:cstheme="majorBidi" w:eastAsiaTheme="majorEastAsia" w:hAnsi="Cambria" w:hAnsiTheme="majorHAnsi"/>
      <w:b/>
      <w:bCs/>
      <w:color w:val="0B3C49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mbria" w:hAnsi="Cambria"/>
      <w:color w:val="0B3C49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  <w:rPr>
      <w:rFonts w:ascii="Cambria" w:hAnsi="Cambria"/>
      <w:color w:val="0B3C49"/>
      <w:sz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QIMO · Navio Boutique Próprio — Business Plan</dc:title>
  <dc:creator/>
  <cp:keywords/>
  <dcterms:created xsi:type="dcterms:W3CDTF">2026-10-07T12:58:19Z</dcterms:created>
  <dcterms:modified xsi:type="dcterms:W3CDTF">2026-10-07T12:58:19Z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Outubro de 2026 · Versão 1.0 para o Investment Committee</vt:lpwstr>
  </property>
  <property fmtid="{D5CDD505-2E9C-101B-9397-08002B2CF9AE}" pid="3" name="subtitle">
    <vt:lpwstr>Estudo de viabilidade: comprar usado × construir novo × continuar fretando</vt:lpwstr>
  </property>
</Properties>
</file>