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jc w:val="center"/>
      </w:pPr>
      <w:r>
        <w:rPr>
          <w:rFonts w:ascii="Times New Roman" w:hAnsi="Times New Roman"/>
          <w:sz w:val="48"/>
        </w:rPr>
        <w:t>Cloud Native Construction Project Intelligence Platform for Predictive Delay and Cost Monitoring</w:t>
      </w:r>
    </w:p>
    <w:p>
      <w:pPr>
        <w:spacing w:after="200"/>
        <w:jc w:val="center"/>
      </w:pPr>
      <w:r>
        <w:rPr>
          <w:rFonts w:ascii="Times New Roman" w:hAnsi="Times New Roman"/>
          <w:b/>
          <w:sz w:val="20"/>
        </w:rPr>
        <w:t>Aryan Kishor Sao</w:t>
        <w:br/>
      </w:r>
      <w:r>
        <w:rPr>
          <w:rFonts w:ascii="Times New Roman" w:hAnsi="Times New Roman"/>
          <w:i/>
          <w:sz w:val="18"/>
        </w:rPr>
        <w:t>Dept. of Computer Science and Engineering</w:t>
        <w:br/>
        <w:t>Bhilai Institute of Technology, Durg, India</w:t>
        <w:br/>
        <w:t>aryanksao@example.edu</w:t>
      </w:r>
    </w:p>
    <w:p>
      <w:pPr>
        <w:sectPr>
          <w:footerReference w:type="default" r:id="rId9"/>
          <w:pgSz w:w="11909" w:h="16834"/>
          <w:pgMar w:top="540" w:right="893" w:bottom="1440" w:left="893" w:header="360" w:footer="360" w:gutter="0"/>
          <w:cols w:space="720"/>
          <w:docGrid w:linePitch="360"/>
        </w:sectPr>
      </w:pPr>
    </w:p>
    <w:p>
      <w:pPr>
        <w:spacing w:after="80"/>
        <w:jc w:val="both"/>
      </w:pPr>
      <w:r>
        <w:rPr>
          <w:rFonts w:ascii="Times New Roman" w:hAnsi="Times New Roman"/>
          <w:b/>
          <w:i/>
          <w:sz w:val="18"/>
        </w:rPr>
        <w:t>Abstract-</w:t>
      </w:r>
      <w:r>
        <w:rPr>
          <w:rFonts w:ascii="Times New Roman" w:hAnsi="Times New Roman"/>
          <w:sz w:val="18"/>
        </w:rPr>
        <w:t>Construction projects generate heterogeneous schedule, cost, progress, and field data, yet these streams are often managed through disconnected spreadsheets, periodic reports, and isolated analytical tools. Recent studies demonstrate the value of real-time field capture, business intelligence dashboards, machine learning delay prediction, and probabilistic schedule-risk analysis, but these capabilities are rarely combined into one deployable project-control platform. This paper proposes a cloud-native construction project intelligence platform that unifies data ingestion, project storage, predictive analytics, and decision support. The architecture uses Python and FastAPI for validated ingestion, PostgreSQL for persistent project and time-series data, Earned Value Management for cost and schedule indicators, supervised learning for activity-level delay-risk scoring, and Microsoft Power BI for interactive reporting. Docker packages the services, while Kubernetes provides reproducible orchestration, health management, persistent storage, and horizontal scaling. The design further introduces data lineage and audit metadata to improve trust in project records. The proposed workflow is intended to move construction control from retrospective reporting toward continuous, evidence-based monitoring of delay and cost risk.</w:t>
      </w:r>
    </w:p>
    <w:p>
      <w:pPr>
        <w:spacing w:after="80"/>
        <w:jc w:val="both"/>
      </w:pPr>
      <w:r>
        <w:rPr>
          <w:rFonts w:ascii="Times New Roman" w:hAnsi="Times New Roman"/>
          <w:b/>
          <w:i/>
          <w:sz w:val="18"/>
        </w:rPr>
        <w:t>Keywords-</w:t>
      </w:r>
      <w:r>
        <w:rPr>
          <w:rFonts w:ascii="Times New Roman" w:hAnsi="Times New Roman"/>
          <w:sz w:val="18"/>
        </w:rPr>
        <w:t>construction project intelligence, delay prediction, cost monitoring, Earned Value Management, Power BI, BIM, machine learning, Docker, Kubernetes, cloud-native analytics.</w:t>
      </w:r>
    </w:p>
    <w:p>
      <w:pPr>
        <w:keepNext/>
        <w:spacing w:before="140" w:after="60"/>
        <w:jc w:val="center"/>
      </w:pPr>
      <w:r>
        <w:rPr>
          <w:rFonts w:ascii="Times New Roman" w:hAnsi="Times New Roman"/>
          <w:b/>
          <w:sz w:val="20"/>
        </w:rPr>
        <w:t>I. INTRODUCTION</w:t>
      </w:r>
    </w:p>
    <w:p>
      <w:pPr>
        <w:spacing w:after="60" w:line="240" w:lineRule="auto"/>
        <w:ind w:firstLine="202"/>
        <w:jc w:val="both"/>
      </w:pPr>
      <w:r>
        <w:rPr>
          <w:rFonts w:ascii="Times New Roman" w:hAnsi="Times New Roman"/>
          <w:sz w:val="20"/>
        </w:rPr>
        <w:t>Construction project performance depends on coordinated control of schedule, cost, resources, and physical progress. In practice, the information required for these controls is produced by different participants and applications, including planning systems, cost sheets, site reports, BIM environments, and contractor submissions. The resulting fragmentation makes it difficult to obtain a consistent view of project status and increases the time between a field event and the management response.</w:t>
      </w:r>
    </w:p>
    <w:p>
      <w:pPr>
        <w:spacing w:after="60" w:line="240" w:lineRule="auto"/>
        <w:ind w:firstLine="202"/>
        <w:jc w:val="both"/>
      </w:pPr>
      <w:r>
        <w:rPr>
          <w:rFonts w:ascii="Times New Roman" w:hAnsi="Times New Roman"/>
          <w:sz w:val="20"/>
        </w:rPr>
        <w:t>The literature increasingly points toward automated data acquisition and data-driven decision making. Radman et al. describe a construction delay-management lifecycle organized around data collection, data screening and analysis, and data presentation, and show that many studies still focus on standalone technologies rather than integrated data flows [8]. Their later RealCONs framework combines QR-based field capture, BIM-linked task identification, cloud SQL storage, and Power BI analytics. In a 90-day comparison, RealCONs recorded five missing earned-value days compared with 35 in a conventional system and reported CPI and SPI values of 1.02 and 1.01, respectively, versus 0.90 and 0.89 for the comparator project [1]. These findings highlight the operational value of data continuity and timely visualization.</w:t>
      </w:r>
    </w:p>
    <w:p>
      <w:pPr>
        <w:spacing w:after="60" w:line="240" w:lineRule="auto"/>
        <w:ind w:firstLine="202"/>
        <w:jc w:val="both"/>
      </w:pPr>
      <w:r>
        <w:rPr>
          <w:rFonts w:ascii="Times New Roman" w:hAnsi="Times New Roman"/>
          <w:sz w:val="20"/>
        </w:rPr>
        <w:t>Business intelligence provides the presentation layer required to turn heterogeneous records into decision-ready information. Ghosh et al. surveyed 31 construction professionals and found that Power BI was the most frequently reported digital dashboard platform among respondents, used by 48 percent. The same study identified absence of real-time data as a common challenge and reported concerns regarding inaccurate or incomplete data and limited integration with other tools [4]. Abdulaziz and Ahmed similarly show that combining BIM data with Power BI can support project performance monitoring, cost and schedule KPIs, transparency, and collaboration through a centralized platform [7].</w:t>
      </w:r>
    </w:p>
    <w:p>
      <w:pPr>
        <w:spacing w:after="60" w:line="240" w:lineRule="auto"/>
        <w:ind w:firstLine="202"/>
        <w:jc w:val="both"/>
      </w:pPr>
      <w:r>
        <w:rPr>
          <w:rFonts w:ascii="Times New Roman" w:hAnsi="Times New Roman"/>
          <w:sz w:val="20"/>
        </w:rPr>
        <w:t>Prediction introduces a second capability beyond descriptive dashboards. Egwim et al. investigated ensemble machine learning for construction delay prediction and evaluated models using accuracy, precision, recall, F1-score, and ROC-AUC, reporting that ensemble methods can improve predictive strength relative to single algorithms [2]. Neththikumara et al. used K-means clustering and a Random Forest classifier to analyze concurrent delay patterns using variables such as labour hours, resource availability, weather, and project complexity [3]. Restrepo Ramirez and Rua Machado further demonstrate the relevance of combining earned-value analysis with cash-flow information for forecasting both schedule and cost deviations [6].</w:t>
      </w:r>
    </w:p>
    <w:p>
      <w:pPr>
        <w:spacing w:after="60" w:line="240" w:lineRule="auto"/>
        <w:ind w:firstLine="202"/>
        <w:jc w:val="both"/>
      </w:pPr>
      <w:r>
        <w:rPr>
          <w:rFonts w:ascii="Times New Roman" w:hAnsi="Times New Roman"/>
          <w:sz w:val="20"/>
        </w:rPr>
        <w:t>The proposed work builds on these research directions but focuses on the missing integration layer: a reproducible software platform that connects data capture, project-control calculations, predictive risk scoring, visualization, and deployment infrastructure. The objective is not to replace established scheduling systems, but to provide a common intelligence layer that consumes their data and returns consistent project-control outputs.</w:t>
      </w:r>
    </w:p>
    <w:p>
      <w:pPr>
        <w:keepNext/>
        <w:spacing w:before="140" w:after="60"/>
        <w:jc w:val="center"/>
      </w:pPr>
      <w:r>
        <w:rPr>
          <w:rFonts w:ascii="Times New Roman" w:hAnsi="Times New Roman"/>
          <w:b/>
          <w:sz w:val="20"/>
        </w:rPr>
        <w:t>II. RELATED WORK</w:t>
      </w:r>
    </w:p>
    <w:p>
      <w:pPr>
        <w:keepNext/>
        <w:spacing w:before="100" w:after="20"/>
        <w:jc w:val="left"/>
      </w:pPr>
      <w:r>
        <w:rPr>
          <w:rFonts w:ascii="Times New Roman" w:hAnsi="Times New Roman"/>
          <w:b/>
          <w:i/>
          <w:sz w:val="20"/>
        </w:rPr>
        <w:t>A. Digital Monitoring and Data Lifecycle</w:t>
      </w:r>
    </w:p>
    <w:p>
      <w:pPr>
        <w:spacing w:after="60" w:line="240" w:lineRule="auto"/>
        <w:ind w:firstLine="202"/>
        <w:jc w:val="both"/>
      </w:pPr>
      <w:r>
        <w:rPr>
          <w:rFonts w:ascii="Times New Roman" w:hAnsi="Times New Roman"/>
          <w:sz w:val="20"/>
        </w:rPr>
        <w:t>Radman et al. conducted a systematic review of digital delay-management technologies and classified solutions by data collection, analysis, and presentation stages. Their framework emphasizes centralized communication between technologies so that timely reports can support corrective action [8]. The review also notes that many published solutions remain standalone, creating fragmentation between acquisition and decision support. RealCONs operationalizes this idea by joining BIM, smartphone-based QR scanning, cloud SQL storage, and Power BI in a single workflow [1].</w:t>
      </w:r>
    </w:p>
    <w:p>
      <w:pPr>
        <w:keepNext/>
        <w:spacing w:before="100" w:after="20"/>
        <w:jc w:val="left"/>
      </w:pPr>
      <w:r>
        <w:rPr>
          <w:rFonts w:ascii="Times New Roman" w:hAnsi="Times New Roman"/>
          <w:b/>
          <w:i/>
          <w:sz w:val="20"/>
        </w:rPr>
        <w:t>B. Business Intelligence and Visual Dashboards</w:t>
      </w:r>
    </w:p>
    <w:p>
      <w:pPr>
        <w:spacing w:after="60" w:line="240" w:lineRule="auto"/>
        <w:ind w:firstLine="202"/>
        <w:jc w:val="both"/>
      </w:pPr>
      <w:r>
        <w:rPr>
          <w:rFonts w:ascii="Times New Roman" w:hAnsi="Times New Roman"/>
          <w:sz w:val="20"/>
        </w:rPr>
        <w:t>Construction dashboard research shows that usability is closely linked to timely and interpretable information. Ghosh et al. identified real-time data, interactivity, user-friendliness, and customizability as important dashboard characteristics, while incomplete data and integration difficulties remained recurring problems [4]. Gajera argues that integrating Power BI with project-control systems can improve real-time cost tracking, transparency, reporting, and resource-allocation decisions, while also identifying compatibility and training as adoption considerations [10]. Abdulaziz and Ahmed extend the BIM to BI connection by demonstrating a customized Power BI dashboard for project performance and progress monitoring [7]. Earlier construction visualization work also established the value of structured visual environments for understanding project information [13].</w:t>
      </w:r>
    </w:p>
    <w:p>
      <w:pPr>
        <w:keepNext/>
        <w:spacing w:before="100" w:after="20"/>
        <w:jc w:val="left"/>
      </w:pPr>
      <w:r>
        <w:rPr>
          <w:rFonts w:ascii="Times New Roman" w:hAnsi="Times New Roman"/>
          <w:b/>
          <w:i/>
          <w:sz w:val="20"/>
        </w:rPr>
        <w:t>C. Machine Learning for Construction Delay Prediction</w:t>
      </w:r>
    </w:p>
    <w:p>
      <w:pPr>
        <w:spacing w:after="60" w:line="240" w:lineRule="auto"/>
        <w:ind w:firstLine="202"/>
        <w:jc w:val="both"/>
      </w:pPr>
      <w:r>
        <w:rPr>
          <w:rFonts w:ascii="Times New Roman" w:hAnsi="Times New Roman"/>
          <w:sz w:val="20"/>
        </w:rPr>
        <w:t>Egwim et al. developed a multilayer ensemble-of-ensembles delay-prediction approach that combined bagging, boosting, and naive Bayes families and assessed multiple candidate classifiers with standard classification metrics [2]. Neththikumara et al. approached concurrent delays using clustering followed by Random Forest classification and emphasized variables related to labour, resources, weather, and complexity [3]. Together, these studies support the use of supervised learning for nonlinear delay relationships while also showing that feature selection, preprocessing, and validation are essential.</w:t>
      </w:r>
    </w:p>
    <w:p>
      <w:pPr>
        <w:keepNext/>
        <w:spacing w:before="100" w:after="20"/>
        <w:jc w:val="left"/>
      </w:pPr>
      <w:r>
        <w:rPr>
          <w:rFonts w:ascii="Times New Roman" w:hAnsi="Times New Roman"/>
          <w:b/>
          <w:i/>
          <w:sz w:val="20"/>
        </w:rPr>
        <w:t>D. Probabilistic Schedule Risk and Earned Value</w:t>
      </w:r>
    </w:p>
    <w:p>
      <w:pPr>
        <w:spacing w:after="60" w:line="240" w:lineRule="auto"/>
        <w:ind w:firstLine="202"/>
        <w:jc w:val="both"/>
      </w:pPr>
      <w:r>
        <w:rPr>
          <w:rFonts w:ascii="Times New Roman" w:hAnsi="Times New Roman"/>
          <w:sz w:val="20"/>
        </w:rPr>
        <w:t>Zhang and Wang proposed a data-driven schedule evaluation method that combines BIM with probabilistic reliability analysis. Their framework models uncertain task durations, identifies critical tasks, and estimates schedule-failure risk so that managers can act before delays propagate [5]. Their discussion also highlights the importance of reliable progress data when updating task-duration distributions. Restrepo Ramirez and Rua Machado use earned-value analysis and project cash flows with regression-based machine learning models to estimate future progress, delays, and cost overruns [6]. Sanusi places these techniques within a broader data-driven decision-making framework that combines predictive analytics, BIM, IoT, and machine learning while identifying data quality and integration as implementation barriers [9].</w:t>
      </w:r>
    </w:p>
    <w:p>
      <w:pPr>
        <w:keepNext/>
        <w:spacing w:before="100" w:after="20"/>
        <w:jc w:val="left"/>
      </w:pPr>
      <w:r>
        <w:rPr>
          <w:rFonts w:ascii="Times New Roman" w:hAnsi="Times New Roman"/>
          <w:b/>
          <w:i/>
          <w:sz w:val="20"/>
        </w:rPr>
        <w:t>E. Data Quality, Auditability, and Implementation Considerations</w:t>
      </w:r>
    </w:p>
    <w:p>
      <w:pPr>
        <w:spacing w:after="60" w:line="240" w:lineRule="auto"/>
        <w:ind w:firstLine="202"/>
        <w:jc w:val="both"/>
      </w:pPr>
      <w:r>
        <w:rPr>
          <w:rFonts w:ascii="Times New Roman" w:hAnsi="Times New Roman"/>
          <w:sz w:val="20"/>
        </w:rPr>
        <w:t>Data quality is not only an analytics issue; it is also a project-governance issue. West et al. report that inconsistent registers, ambiguous parameters, and compounding reporting errors can reduce the reliability of building-condition auditing [11]. For a construction intelligence platform, this supports explicit record-level metadata such as source, timestamp, validation state, model version, and update history. Such metadata can improve traceability when dashboard values or risk scores are reviewed by different project stakeholders.</w:t>
      </w:r>
    </w:p>
    <w:p>
      <w:pPr>
        <w:spacing w:after="60" w:line="240" w:lineRule="auto"/>
        <w:ind w:firstLine="202"/>
        <w:jc w:val="both"/>
      </w:pPr>
      <w:r>
        <w:rPr>
          <w:rFonts w:ascii="Times New Roman" w:hAnsi="Times New Roman"/>
          <w:sz w:val="20"/>
        </w:rPr>
        <w:t>Across the reviewed literature, three complementary evidence streams emerge. Real-time monitoring studies emphasize timely and continuous field data; dashboard studies emphasize interpretability, interactivity, and integration; and prediction studies emphasize feature engineering, model comparison, and uncertainty-aware forecasting. The proposed platform treats these as one pipeline rather than independent tools, with a shared schema connecting field observations to project-control indicators and predictive outputs.</w:t>
      </w:r>
    </w:p>
    <w:p>
      <w:pPr>
        <w:keepNext/>
        <w:spacing w:before="140" w:after="60"/>
        <w:jc w:val="center"/>
      </w:pPr>
      <w:r>
        <w:rPr>
          <w:rFonts w:ascii="Times New Roman" w:hAnsi="Times New Roman"/>
          <w:b/>
          <w:sz w:val="20"/>
        </w:rPr>
        <w:t>III. RESEARCH GAP AND CONTRIBUTIONS</w:t>
      </w:r>
    </w:p>
    <w:p>
      <w:pPr>
        <w:keepNext/>
        <w:spacing w:before="100" w:after="20"/>
        <w:jc w:val="left"/>
      </w:pPr>
      <w:r>
        <w:rPr>
          <w:rFonts w:ascii="Times New Roman" w:hAnsi="Times New Roman"/>
          <w:b/>
          <w:i/>
          <w:sz w:val="20"/>
        </w:rPr>
        <w:t>A. Research Gap</w:t>
      </w:r>
    </w:p>
    <w:p>
      <w:pPr>
        <w:spacing w:after="60" w:line="240" w:lineRule="auto"/>
        <w:ind w:firstLine="202"/>
        <w:jc w:val="both"/>
      </w:pPr>
      <w:r>
        <w:rPr>
          <w:rFonts w:ascii="Times New Roman" w:hAnsi="Times New Roman"/>
          <w:sz w:val="20"/>
        </w:rPr>
        <w:t>The reviewed studies demonstrate four mature but largely separate capabilities: digital field-data acquisition, visual business intelligence, machine learning for delay prediction, and probabilistic schedule-risk analysis. The remaining integration problem is architectural. A project manager may receive a real-time progress record, an EVM variance, and a machine-learning risk score from different systems without a common data model, shared audit trail, or reproducible deployment path. This limits traceability and makes it difficult to move from an individual analytical experiment to an operational project-control service.</w:t>
      </w:r>
    </w:p>
    <w:p>
      <w:pPr>
        <w:spacing w:after="60" w:line="240" w:lineRule="auto"/>
        <w:ind w:firstLine="202"/>
        <w:jc w:val="both"/>
      </w:pPr>
      <w:r>
        <w:rPr>
          <w:rFonts w:ascii="Times New Roman" w:hAnsi="Times New Roman"/>
          <w:sz w:val="20"/>
        </w:rPr>
        <w:t>A second gap concerns the relationship between cost and schedule intelligence. EVM indicators such as CPI and SPI are useful for explaining observed performance, while machine learning and probabilistic methods can estimate future risk. Combining these outputs within one analytical layer makes it possible to distinguish current performance from projected risk and to support richer dashboard views than a single historical index can provide.</w:t>
      </w:r>
    </w:p>
    <w:p>
      <w:pPr>
        <w:keepNext/>
        <w:spacing w:before="100" w:after="20"/>
        <w:jc w:val="left"/>
      </w:pPr>
      <w:r>
        <w:rPr>
          <w:rFonts w:ascii="Times New Roman" w:hAnsi="Times New Roman"/>
          <w:b/>
          <w:i/>
          <w:sz w:val="20"/>
        </w:rPr>
        <w:t>B. Contributions</w:t>
      </w:r>
    </w:p>
    <w:p>
      <w:pPr>
        <w:spacing w:after="60" w:line="240" w:lineRule="auto"/>
        <w:ind w:firstLine="202"/>
        <w:jc w:val="both"/>
      </w:pPr>
      <w:r>
        <w:rPr>
          <w:rFonts w:ascii="Times New Roman" w:hAnsi="Times New Roman"/>
          <w:sz w:val="20"/>
        </w:rPr>
        <w:t>The proposed platform makes five contributions. First, it defines a normalized data model that links project, activity, progress, cost, KPI, and risk entities. Second, it provides a validated ingestion service that can accept structured data from schedules, cost records, BIM-linked activities, and field updates. Third, it combines EVM and cash-flow indicators with activity and site-context features for delay-risk modeling. Fourth, it exposes both descriptive and predictive outputs through Power BI. Fifth, it packages the analytical services as Docker containers and defines a Kubernetes deployment pattern with persistent storage, health probes, secrets, and scalable stateless workers.</w:t>
      </w:r>
    </w:p>
    <w:p>
      <w:pPr>
        <w:keepNext/>
        <w:spacing w:before="140" w:after="60"/>
        <w:jc w:val="center"/>
      </w:pPr>
      <w:r>
        <w:rPr>
          <w:rFonts w:ascii="Times New Roman" w:hAnsi="Times New Roman"/>
          <w:b/>
          <w:sz w:val="20"/>
        </w:rPr>
        <w:t>IV. PROPOSED SYSTEM ARCHITECTURE</w:t>
      </w:r>
    </w:p>
    <w:p>
      <w:pPr>
        <w:keepNext/>
        <w:spacing w:before="100" w:after="20"/>
        <w:jc w:val="left"/>
      </w:pPr>
      <w:r>
        <w:rPr>
          <w:rFonts w:ascii="Times New Roman" w:hAnsi="Times New Roman"/>
          <w:b/>
          <w:i/>
          <w:sz w:val="20"/>
        </w:rPr>
        <w:t>A. Architecture Overview</w:t>
      </w:r>
    </w:p>
    <w:p>
      <w:pPr>
        <w:spacing w:after="60" w:line="240" w:lineRule="auto"/>
        <w:ind w:firstLine="202"/>
        <w:jc w:val="both"/>
      </w:pPr>
      <w:r>
        <w:rPr>
          <w:rFonts w:ascii="Times New Roman" w:hAnsi="Times New Roman"/>
          <w:sz w:val="20"/>
        </w:rPr>
        <w:t>The proposed architecture separates ingestion, storage, analytics, and visualization so that each service can evolve independently. Figure 1 shows the main information flow. Data enters through structured project records or field submissions, passes validation, and is stored in PostgreSQL. Analytics services calculate project-control indicators and delay-risk outputs. Power BI consumes curated database views for interactive reporting. Docker packages each backend service, while Kubernetes provides the execution environment for service discovery, persistence, restart behavior, secrets, and optional horizontal scaling.</w:t>
      </w:r>
    </w:p>
    <w:p>
      <w:pPr>
        <w:spacing w:after="20"/>
        <w:jc w:val="center"/>
      </w:pPr>
      <w:r>
        <w:drawing>
          <wp:inline xmlns:a="http://schemas.openxmlformats.org/drawingml/2006/main" xmlns:pic="http://schemas.openxmlformats.org/drawingml/2006/picture">
            <wp:extent cx="2971800" cy="1671638"/>
            <wp:docPr id="1" name="Picture 1" descr="Image: image1.png"/>
            <wp:cNvGraphicFramePr>
              <a:graphicFrameLocks noChangeAspect="1"/>
            </wp:cNvGraphicFramePr>
            <a:graphic>
              <a:graphicData uri="http://schemas.openxmlformats.org/drawingml/2006/picture">
                <pic:pic>
                  <pic:nvPicPr>
                    <pic:cNvPr id="0" name="proposed_architecture.png"/>
                    <pic:cNvPicPr/>
                  </pic:nvPicPr>
                  <pic:blipFill>
                    <a:blip r:embed="rId10"/>
                    <a:stretch>
                      <a:fillRect/>
                    </a:stretch>
                  </pic:blipFill>
                  <pic:spPr>
                    <a:xfrm>
                      <a:off x="0" y="0"/>
                      <a:ext cx="2971800" cy="1671638"/>
                    </a:xfrm>
                    <a:prstGeom prst="rect"/>
                  </pic:spPr>
                </pic:pic>
              </a:graphicData>
            </a:graphic>
          </wp:inline>
        </w:drawing>
      </w:r>
    </w:p>
    <w:p>
      <w:pPr>
        <w:keepNext w:val="0"/>
        <w:spacing w:before="20" w:after="60"/>
        <w:jc w:val="center"/>
      </w:pPr>
      <w:r>
        <w:rPr>
          <w:rFonts w:ascii="Times New Roman" w:hAnsi="Times New Roman"/>
          <w:sz w:val="16"/>
        </w:rPr>
        <w:t>Fig. 1. Proposed cloud-native architecture for construction project intelligence.</w:t>
      </w:r>
    </w:p>
    <w:p>
      <w:pPr>
        <w:keepNext/>
        <w:spacing w:before="100" w:after="20"/>
        <w:jc w:val="left"/>
      </w:pPr>
      <w:r>
        <w:rPr>
          <w:rFonts w:ascii="Times New Roman" w:hAnsi="Times New Roman"/>
          <w:b/>
          <w:i/>
          <w:sz w:val="20"/>
        </w:rPr>
        <w:t>B. Data Ingestion and Validation</w:t>
      </w:r>
    </w:p>
    <w:p>
      <w:pPr>
        <w:spacing w:after="60" w:line="240" w:lineRule="auto"/>
        <w:ind w:firstLine="202"/>
        <w:jc w:val="both"/>
      </w:pPr>
      <w:r>
        <w:rPr>
          <w:rFonts w:ascii="Times New Roman" w:hAnsi="Times New Roman"/>
          <w:sz w:val="20"/>
        </w:rPr>
        <w:t>The ingestion layer uses Python and FastAPI to expose REST endpoints for project, activity, progress, and cost records. Incoming records are validated against a defined schema before persistence. Validation includes data-type checks, required-field checks, unique identifiers, timestamp normalization, permitted ranges for progress percentages, and consistency checks between activity and project identifiers. Each accepted record also carries source metadata and a validation state, creating a lightweight audit trail for downstream analysis.</w:t>
      </w:r>
    </w:p>
    <w:p>
      <w:pPr>
        <w:keepNext/>
        <w:spacing w:before="100" w:after="20"/>
        <w:jc w:val="left"/>
      </w:pPr>
      <w:r>
        <w:rPr>
          <w:rFonts w:ascii="Times New Roman" w:hAnsi="Times New Roman"/>
          <w:b/>
          <w:i/>
          <w:sz w:val="20"/>
        </w:rPr>
        <w:t>C. Persistent Data Layer</w:t>
      </w:r>
    </w:p>
    <w:p>
      <w:pPr>
        <w:spacing w:after="60" w:line="240" w:lineRule="auto"/>
        <w:ind w:firstLine="202"/>
        <w:jc w:val="both"/>
      </w:pPr>
      <w:r>
        <w:rPr>
          <w:rFonts w:ascii="Times New Roman" w:hAnsi="Times New Roman"/>
          <w:sz w:val="20"/>
        </w:rPr>
        <w:t>PostgreSQL stores both relatively static project master data and append-only operational updates. The separation is intentional: baseline information changes infrequently, whereas progress and cost records form time series that must be preserved for trend analysis and model training. Curated SQL views can expose stable analytical interfaces to Power BI while keeping the underlying transaction tables normalized.</w:t>
      </w:r>
    </w:p>
    <w:p>
      <w:pPr>
        <w:keepNext/>
        <w:spacing w:before="100" w:after="20"/>
        <w:jc w:val="left"/>
      </w:pPr>
      <w:r>
        <w:rPr>
          <w:rFonts w:ascii="Times New Roman" w:hAnsi="Times New Roman"/>
          <w:b/>
          <w:i/>
          <w:sz w:val="20"/>
        </w:rPr>
        <w:t>D. Analytics and Risk Services</w:t>
      </w:r>
    </w:p>
    <w:p>
      <w:pPr>
        <w:spacing w:after="60" w:line="240" w:lineRule="auto"/>
        <w:ind w:firstLine="202"/>
        <w:jc w:val="both"/>
      </w:pPr>
      <w:r>
        <w:rPr>
          <w:rFonts w:ascii="Times New Roman" w:hAnsi="Times New Roman"/>
          <w:sz w:val="20"/>
        </w:rPr>
        <w:t>The analytics layer contains an EVM service, a feature-engineering service, and a delay-risk service. The EVM service derives CV, SV, CPI, SPI, and cost and time forecasts. The feature service creates rolling trends and contextual variables from progress, cost, schedule, labour, resource, weather, and complexity data where those variables are available. The risk service consumes the resulting feature set and produces an activity-level probability or risk score together with model version and prediction timestamp.</w:t>
      </w:r>
    </w:p>
    <w:p>
      <w:pPr>
        <w:keepNext/>
        <w:spacing w:before="100" w:after="20"/>
        <w:jc w:val="left"/>
      </w:pPr>
      <w:r>
        <w:rPr>
          <w:rFonts w:ascii="Times New Roman" w:hAnsi="Times New Roman"/>
          <w:b/>
          <w:i/>
          <w:sz w:val="20"/>
        </w:rPr>
        <w:t>E. Visualization and Decision Support</w:t>
      </w:r>
    </w:p>
    <w:p>
      <w:pPr>
        <w:spacing w:after="60" w:line="240" w:lineRule="auto"/>
        <w:ind w:firstLine="202"/>
        <w:jc w:val="both"/>
      </w:pPr>
      <w:r>
        <w:rPr>
          <w:rFonts w:ascii="Times New Roman" w:hAnsi="Times New Roman"/>
          <w:sz w:val="20"/>
        </w:rPr>
        <w:t>Power BI is used as the decision-support layer rather than as the location of the core predictive logic. This separation allows analytical services to be tested independently and lets the dashboard focus on communication, filtering, and drill-down. The dashboard is designed around executive summary, cost performance, schedule performance, activity risk, and data-quality views. This structure reflects the need for real-time visibility, integration, and user-oriented dashboard design identified in prior studies [1], [4], [7].</w:t>
      </w:r>
    </w:p>
    <w:p>
      <w:pPr>
        <w:keepNext/>
        <w:spacing w:before="100" w:after="20"/>
        <w:jc w:val="left"/>
      </w:pPr>
      <w:r>
        <w:rPr>
          <w:rFonts w:ascii="Times New Roman" w:hAnsi="Times New Roman"/>
          <w:b/>
          <w:i/>
          <w:sz w:val="20"/>
        </w:rPr>
        <w:t>F. Cloud-Native Deployment</w:t>
      </w:r>
    </w:p>
    <w:p>
      <w:pPr>
        <w:spacing w:after="60" w:line="240" w:lineRule="auto"/>
        <w:ind w:firstLine="202"/>
        <w:jc w:val="both"/>
      </w:pPr>
      <w:r>
        <w:rPr>
          <w:rFonts w:ascii="Times New Roman" w:hAnsi="Times New Roman"/>
          <w:sz w:val="20"/>
        </w:rPr>
        <w:t>The proposed Kubernetes topology contains stateless API and analytics deployments together with a stateful PostgreSQL workload backed by persistent volume claims. Secrets are stored separately from application images. Readiness and liveness probes are defined for service health, and worker replicas can be scaled according to demand. These patterns make the analytical pipeline reproducible across development and demonstration environments without tying the implementation to a single host.</w:t>
      </w:r>
    </w:p>
    <w:p>
      <w:pPr>
        <w:keepNext/>
        <w:spacing w:before="140" w:after="60"/>
        <w:jc w:val="center"/>
      </w:pPr>
      <w:r>
        <w:rPr>
          <w:rFonts w:ascii="Times New Roman" w:hAnsi="Times New Roman"/>
          <w:b/>
          <w:sz w:val="20"/>
        </w:rPr>
        <w:t>V. DATA AND METHODOLOGY</w:t>
      </w:r>
    </w:p>
    <w:p>
      <w:pPr>
        <w:keepNext/>
        <w:spacing w:before="100" w:after="20"/>
        <w:jc w:val="left"/>
      </w:pPr>
      <w:r>
        <w:rPr>
          <w:rFonts w:ascii="Times New Roman" w:hAnsi="Times New Roman"/>
          <w:b/>
          <w:i/>
          <w:sz w:val="20"/>
        </w:rPr>
        <w:t>A. Data Sources and Preparation</w:t>
      </w:r>
    </w:p>
    <w:p>
      <w:pPr>
        <w:spacing w:after="60" w:line="240" w:lineRule="auto"/>
        <w:ind w:firstLine="202"/>
        <w:jc w:val="both"/>
      </w:pPr>
      <w:r>
        <w:rPr>
          <w:rFonts w:ascii="Times New Roman" w:hAnsi="Times New Roman"/>
          <w:sz w:val="20"/>
        </w:rPr>
        <w:t>The platform accepts project schedules, cost records, progress updates, BIM-linked activity metadata, and contextual delay factors. The exact source mix depends on the availability of project data. When real field records are limited, a controlled synthetic dataset can be used for pipeline and software validation, following the approach used by Neththikumara et al. [3]. Data preparation includes duplicate removal, missing-value treatment, timestamp alignment, categorical encoding, numerical scaling where required, and outlier checks. Validation rules are applied before model training so that malformed records do not become training examples.</w:t>
      </w:r>
    </w:p>
    <w:p>
      <w:pPr>
        <w:spacing w:after="60" w:line="240" w:lineRule="auto"/>
        <w:ind w:firstLine="202"/>
        <w:jc w:val="both"/>
      </w:pPr>
      <w:r>
        <w:rPr>
          <w:rFonts w:ascii="Times New Roman" w:hAnsi="Times New Roman"/>
          <w:sz w:val="20"/>
        </w:rPr>
        <w:t>Temporal leakage is explicitly controlled. Historical records are divided into training, validation, and test periods using project time rather than randomly mixing future observations with past observations. This design is important because delay prediction is a forward-looking task: a model should only use information that would have been available at the time of prediction.</w:t>
      </w:r>
    </w:p>
    <w:p>
      <w:pPr>
        <w:keepNext/>
        <w:spacing w:before="100" w:after="20"/>
        <w:jc w:val="left"/>
      </w:pPr>
      <w:r>
        <w:rPr>
          <w:rFonts w:ascii="Times New Roman" w:hAnsi="Times New Roman"/>
          <w:b/>
          <w:i/>
          <w:sz w:val="20"/>
        </w:rPr>
        <w:t>B. Earned Value and Cost Schedule Indicators</w:t>
      </w:r>
    </w:p>
    <w:p>
      <w:pPr>
        <w:spacing w:after="60" w:line="240" w:lineRule="auto"/>
        <w:ind w:firstLine="202"/>
        <w:jc w:val="both"/>
      </w:pPr>
      <w:r>
        <w:rPr>
          <w:rFonts w:ascii="Times New Roman" w:hAnsi="Times New Roman"/>
          <w:sz w:val="20"/>
        </w:rPr>
        <w:t>EVM provides the descriptive control layer of the system. The proposed service computes standard variance and performance indicators from planned value, earned value, actual cost, and budget at completion.</w:t>
      </w:r>
    </w:p>
    <w:p>
      <w:pPr>
        <w:spacing w:after="40"/>
        <w:ind w:left="259" w:right="72"/>
      </w:pPr>
      <w:r>
        <w:rPr>
          <w:rFonts w:ascii="Times New Roman" w:hAnsi="Times New Roman"/>
          <w:i/>
          <w:sz w:val="19"/>
        </w:rPr>
        <w:t>CV = EV - AC                                      (1)</w:t>
      </w:r>
    </w:p>
    <w:p>
      <w:pPr>
        <w:spacing w:after="40"/>
        <w:ind w:left="259" w:right="72"/>
      </w:pPr>
      <w:r>
        <w:rPr>
          <w:rFonts w:ascii="Times New Roman" w:hAnsi="Times New Roman"/>
          <w:i/>
          <w:sz w:val="19"/>
        </w:rPr>
        <w:t>SV = EV - PV                                      (2)</w:t>
      </w:r>
    </w:p>
    <w:p>
      <w:pPr>
        <w:spacing w:after="40"/>
        <w:ind w:left="259" w:right="72"/>
      </w:pPr>
      <w:r>
        <w:rPr>
          <w:rFonts w:ascii="Times New Roman" w:hAnsi="Times New Roman"/>
          <w:i/>
          <w:sz w:val="19"/>
        </w:rPr>
        <w:t>CPI = EV / AC                                      (3)</w:t>
      </w:r>
    </w:p>
    <w:p>
      <w:pPr>
        <w:spacing w:after="40"/>
        <w:ind w:left="259" w:right="72"/>
      </w:pPr>
      <w:r>
        <w:rPr>
          <w:rFonts w:ascii="Times New Roman" w:hAnsi="Times New Roman"/>
          <w:i/>
          <w:sz w:val="19"/>
        </w:rPr>
        <w:t>SPI = EV / PV                                      (4)</w:t>
      </w:r>
    </w:p>
    <w:p>
      <w:pPr>
        <w:spacing w:after="40"/>
        <w:ind w:left="259" w:right="72"/>
      </w:pPr>
      <w:r>
        <w:rPr>
          <w:rFonts w:ascii="Times New Roman" w:hAnsi="Times New Roman"/>
          <w:i/>
          <w:sz w:val="19"/>
        </w:rPr>
        <w:t>EAC = BAC / CPI                                      (5)</w:t>
      </w:r>
    </w:p>
    <w:p>
      <w:pPr>
        <w:spacing w:after="40"/>
        <w:ind w:left="259" w:right="72"/>
      </w:pPr>
      <w:r>
        <w:rPr>
          <w:rFonts w:ascii="Times New Roman" w:hAnsi="Times New Roman"/>
          <w:i/>
          <w:sz w:val="19"/>
        </w:rPr>
        <w:t>TEAC = Planned Duration / SPI                                      (6)</w:t>
      </w:r>
    </w:p>
    <w:p>
      <w:pPr>
        <w:spacing w:after="60" w:line="240" w:lineRule="auto"/>
        <w:ind w:firstLine="202"/>
        <w:jc w:val="both"/>
      </w:pPr>
      <w:r>
        <w:rPr>
          <w:rFonts w:ascii="Times New Roman" w:hAnsi="Times New Roman"/>
          <w:sz w:val="20"/>
        </w:rPr>
        <w:t>Here, PV is Planned Value, EV is Earned Value, AC is Actual Cost, and BAC is Budget at Completion. The indicators provide a consistent historical description that can be placed alongside the predictive risk outputs. The combination is motivated by RealCONs and by the use of earned value and cash-flow information in prior predictive studies [1], [6].</w:t>
      </w:r>
    </w:p>
    <w:p>
      <w:pPr>
        <w:keepNext/>
        <w:spacing w:before="100" w:after="20"/>
        <w:jc w:val="left"/>
      </w:pPr>
      <w:r>
        <w:rPr>
          <w:rFonts w:ascii="Times New Roman" w:hAnsi="Times New Roman"/>
          <w:b/>
          <w:i/>
          <w:sz w:val="20"/>
        </w:rPr>
        <w:t>C. Delay Label Definition</w:t>
      </w:r>
    </w:p>
    <w:p>
      <w:pPr>
        <w:spacing w:after="60" w:line="240" w:lineRule="auto"/>
        <w:ind w:firstLine="202"/>
        <w:jc w:val="both"/>
      </w:pPr>
      <w:r>
        <w:rPr>
          <w:rFonts w:ascii="Times New Roman" w:hAnsi="Times New Roman"/>
          <w:sz w:val="20"/>
        </w:rPr>
        <w:t>For supervised learning, the platform converts the future schedule outcome into a binary or probabilistic target. A configurable tolerance is used so that small administrative variations are not automatically treated as material delays.</w:t>
      </w:r>
    </w:p>
    <w:p>
      <w:pPr>
        <w:spacing w:after="40"/>
        <w:ind w:left="259" w:right="72"/>
      </w:pPr>
      <w:r>
        <w:rPr>
          <w:rFonts w:ascii="Times New Roman" w:hAnsi="Times New Roman"/>
          <w:i/>
          <w:sz w:val="19"/>
        </w:rPr>
        <w:t>DelayLabel = 1 if Actual Finish - Planned Finish &gt; tolerance, else 0                                      (7)</w:t>
      </w:r>
    </w:p>
    <w:p>
      <w:pPr>
        <w:spacing w:after="60" w:line="240" w:lineRule="auto"/>
        <w:ind w:firstLine="202"/>
        <w:jc w:val="both"/>
      </w:pPr>
      <w:r>
        <w:rPr>
          <w:rFonts w:ascii="Times New Roman" w:hAnsi="Times New Roman"/>
          <w:sz w:val="20"/>
        </w:rPr>
        <w:t>The tolerance is project-specific and can be defined in days or as a proportion of planned duration. The label is calculated only after the observation window closes, while predictive features are restricted to information available before that point.</w:t>
      </w:r>
    </w:p>
    <w:p>
      <w:pPr>
        <w:keepNext/>
        <w:spacing w:before="100" w:after="20"/>
        <w:jc w:val="left"/>
      </w:pPr>
      <w:r>
        <w:rPr>
          <w:rFonts w:ascii="Times New Roman" w:hAnsi="Times New Roman"/>
          <w:b/>
          <w:i/>
          <w:sz w:val="20"/>
        </w:rPr>
        <w:t>D. Feature Engineering</w:t>
      </w:r>
    </w:p>
    <w:p>
      <w:pPr>
        <w:spacing w:after="60" w:line="240" w:lineRule="auto"/>
        <w:ind w:firstLine="202"/>
        <w:jc w:val="both"/>
      </w:pPr>
      <w:r>
        <w:rPr>
          <w:rFonts w:ascii="Times New Roman" w:hAnsi="Times New Roman"/>
          <w:sz w:val="20"/>
        </w:rPr>
        <w:t>The candidate feature set combines the complementary signals identified across the reviewed studies. Schedule features include planned duration, remaining duration, total float, predecessor count, baseline variance, and recent progress velocity. Cost features include PV, EV, AC, CPI, cumulative cost, and cash-flow trend. Context features may include labour hours, resource availability, weather conditions, project complexity, contractor history, and delay-event indicators. Rolling SPI and CPI trends are used to represent recent performance rather than relying on a single observation [2], [3], [6].</w:t>
      </w:r>
    </w:p>
    <w:p>
      <w:pPr>
        <w:keepNext/>
        <w:spacing w:before="100" w:after="20"/>
        <w:jc w:val="left"/>
      </w:pPr>
      <w:r>
        <w:rPr>
          <w:rFonts w:ascii="Times New Roman" w:hAnsi="Times New Roman"/>
          <w:b/>
          <w:i/>
          <w:sz w:val="20"/>
        </w:rPr>
        <w:t>E. Predictive Models</w:t>
      </w:r>
    </w:p>
    <w:p>
      <w:pPr>
        <w:spacing w:after="60" w:line="240" w:lineRule="auto"/>
        <w:ind w:firstLine="202"/>
        <w:jc w:val="both"/>
      </w:pPr>
      <w:r>
        <w:rPr>
          <w:rFonts w:ascii="Times New Roman" w:hAnsi="Times New Roman"/>
          <w:sz w:val="20"/>
        </w:rPr>
        <w:t>The baseline predictive suite contains Logistic Regression, Decision Tree, Random Forest, and XGBoost. Logistic Regression provides an interpretable linear baseline. Decision Tree provides a simple nonlinear comparator. Random Forest is included because it is repeatedly reported as effective for construction delay classification and provides feature-importance measures [2], [3]. XGBoost is included as a stronger boosted-tree comparator for nonlinear feature interactions. K-means clustering is used optionally for exploratory identification of concurrent delay patterns before supervised modeling [3].</w:t>
      </w:r>
    </w:p>
    <w:p>
      <w:pPr>
        <w:keepNext/>
        <w:spacing w:before="100" w:after="20"/>
        <w:jc w:val="left"/>
      </w:pPr>
      <w:r>
        <w:rPr>
          <w:rFonts w:ascii="Times New Roman" w:hAnsi="Times New Roman"/>
          <w:b/>
          <w:i/>
          <w:sz w:val="20"/>
        </w:rPr>
        <w:t>F. Probabilistic Schedule-Risk Analysis</w:t>
      </w:r>
    </w:p>
    <w:p>
      <w:pPr>
        <w:spacing w:after="60" w:line="240" w:lineRule="auto"/>
        <w:ind w:firstLine="202"/>
        <w:jc w:val="both"/>
      </w:pPr>
      <w:r>
        <w:rPr>
          <w:rFonts w:ascii="Times New Roman" w:hAnsi="Times New Roman"/>
          <w:sz w:val="20"/>
        </w:rPr>
        <w:t>The predictive classifier is complemented by the probabilistic reliability perspective introduced by Zhang and Wang [5]. Their method models uncertainty in task durations and identifies critical schedule-failure conditions. In the proposed platform, the reliability module is treated as a complementary risk-analysis service rather than as a replacement for machine learning. This allows the dashboard to display both empirical risk scores from historical patterns and probability-based schedule-risk evidence when the activity network and distributional assumptions are available.</w:t>
      </w:r>
    </w:p>
    <w:p>
      <w:pPr>
        <w:keepNext/>
        <w:spacing w:before="100" w:after="20"/>
        <w:jc w:val="left"/>
      </w:pPr>
      <w:r>
        <w:rPr>
          <w:rFonts w:ascii="Times New Roman" w:hAnsi="Times New Roman"/>
          <w:b/>
          <w:i/>
          <w:sz w:val="20"/>
        </w:rPr>
        <w:t>G. Model Evaluation</w:t>
      </w:r>
    </w:p>
    <w:p>
      <w:pPr>
        <w:spacing w:after="60" w:line="240" w:lineRule="auto"/>
        <w:ind w:firstLine="202"/>
        <w:jc w:val="both"/>
      </w:pPr>
      <w:r>
        <w:rPr>
          <w:rFonts w:ascii="Times New Roman" w:hAnsi="Times New Roman"/>
          <w:sz w:val="20"/>
        </w:rPr>
        <w:t>Classification quality is evaluated using accuracy, precision, recall, F1-score, ROC-AUC, confusion matrices, and probability calibration. Because false negatives may be operationally important in delay early-warning applications, recall and F1-score are reported alongside accuracy. Feature importance is also inspected to support interpretation. For regression-style cost and progress forecasts, the evaluation framework includes R-squared, mean absolute error, root mean squared error, and percentage deviation where applicable. These choices align with the metrics used in the reviewed delay-prediction and cost-forecasting literature [2], [6].</w:t>
      </w:r>
    </w:p>
    <w:p>
      <w:pPr>
        <w:keepNext w:val="0"/>
        <w:spacing w:before="80" w:after="40"/>
        <w:jc w:val="center"/>
      </w:pPr>
      <w:r>
        <w:rPr>
          <w:rFonts w:ascii="Times New Roman" w:hAnsi="Times New Roman"/>
          <w:b/>
          <w:sz w:val="16"/>
        </w:rPr>
        <w:t>TABLE II. PROPOSED DATA ENTITIES</w:t>
      </w:r>
    </w:p>
    <w:tbl>
      <w:tblPr>
        <w:tblW w:type="auto" w:w="0"/>
        <w:jc w:val="center"/>
        <w:tblLayout w:type="fixed"/>
        <w:tblLook w:firstColumn="1" w:firstRow="1" w:lastColumn="0" w:lastRow="0" w:noHBand="0" w:noVBand="1" w:val="04A0"/>
        <w:tblW w:type="dxa" w:w="4464"/>
        <w:tblLayout w:type="fixed"/>
      </w:tblPr>
      <w:tblGrid>
        <w:gridCol w:w="5061"/>
        <w:gridCol w:w="5061"/>
      </w:tblGrid>
      <w:tr>
        <w:trPr>
          <w:tblHeader w:val="true"/>
        </w:trPr>
        <w:tc>
          <w:tcPr>
            <w:tcW w:type="dxa" w:w="1267"/>
            <w:vAlign w:val="center"/>
            <w:tcBorders>
              <w:top w:val="single" w:sz="4" w:color="000000"/>
              <w:left w:val="single" w:sz="4" w:color="000000"/>
              <w:bottom w:val="single" w:sz="4" w:color="000000"/>
              <w:right w:val="single" w:sz="4" w:color="000000"/>
            </w:tcBorders>
            <w:shd w:fill="D9D9D9"/>
          </w:tcPr>
          <w:p>
            <w:pPr>
              <w:spacing w:after="0" w:line="240" w:lineRule="auto"/>
              <w:jc w:val="center"/>
            </w:pPr>
            <w:r>
              <w:rPr>
                <w:rFonts w:ascii="Times New Roman" w:hAnsi="Times New Roman"/>
                <w:b/>
                <w:sz w:val="14"/>
              </w:rPr>
              <w:t>Entity</w:t>
            </w:r>
          </w:p>
        </w:tc>
        <w:tc>
          <w:tcPr>
            <w:tcW w:type="dxa" w:w="3197"/>
            <w:vAlign w:val="center"/>
            <w:tcBorders>
              <w:top w:val="single" w:sz="4" w:color="000000"/>
              <w:left w:val="single" w:sz="4" w:color="000000"/>
              <w:bottom w:val="single" w:sz="4" w:color="000000"/>
              <w:right w:val="single" w:sz="4" w:color="000000"/>
            </w:tcBorders>
            <w:shd w:fill="D9D9D9"/>
          </w:tcPr>
          <w:p>
            <w:pPr>
              <w:spacing w:after="0" w:line="240" w:lineRule="auto"/>
              <w:jc w:val="center"/>
            </w:pPr>
            <w:r>
              <w:rPr>
                <w:rFonts w:ascii="Times New Roman" w:hAnsi="Times New Roman"/>
                <w:b/>
                <w:sz w:val="14"/>
              </w:rPr>
              <w:t>Representative fields and role</w:t>
            </w:r>
          </w:p>
        </w:tc>
      </w:tr>
      <w:tr>
        <w:tc>
          <w:tcPr>
            <w:tcW w:type="dxa" w:w="1267"/>
            <w:vAlign w:val="cente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sz w:val="14"/>
              </w:rPr>
              <w:t>Project</w:t>
            </w:r>
          </w:p>
        </w:tc>
        <w:tc>
          <w:tcPr>
            <w:tcW w:type="dxa" w:w="3197"/>
            <w:vAlign w:val="cente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sz w:val="14"/>
              </w:rPr>
              <w:t>project_id, WBS, baseline dates, BAC - master project context</w:t>
            </w:r>
          </w:p>
        </w:tc>
      </w:tr>
      <w:tr>
        <w:tc>
          <w:tcPr>
            <w:tcW w:type="dxa" w:w="1267"/>
            <w:vAlign w:val="cente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sz w:val="14"/>
              </w:rPr>
              <w:t>Activity</w:t>
            </w:r>
          </w:p>
        </w:tc>
        <w:tc>
          <w:tcPr>
            <w:tcW w:type="dxa" w:w="3197"/>
            <w:vAlign w:val="cente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sz w:val="14"/>
              </w:rPr>
              <w:t>activity_id, duration, float, predecessors - schedule structure and dependencies</w:t>
            </w:r>
          </w:p>
        </w:tc>
      </w:tr>
      <w:tr>
        <w:tc>
          <w:tcPr>
            <w:tcW w:type="dxa" w:w="1267"/>
            <w:vAlign w:val="cente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sz w:val="14"/>
              </w:rPr>
              <w:t>ProgressUpdate</w:t>
            </w:r>
          </w:p>
        </w:tc>
        <w:tc>
          <w:tcPr>
            <w:tcW w:type="dxa" w:w="3197"/>
            <w:vAlign w:val="cente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sz w:val="14"/>
              </w:rPr>
              <w:t>timestamp, progress, source, validation state - time-series site progress</w:t>
            </w:r>
          </w:p>
        </w:tc>
      </w:tr>
      <w:tr>
        <w:tc>
          <w:tcPr>
            <w:tcW w:type="dxa" w:w="1267"/>
            <w:vAlign w:val="cente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sz w:val="14"/>
              </w:rPr>
              <w:t>CostRecord</w:t>
            </w:r>
          </w:p>
        </w:tc>
        <w:tc>
          <w:tcPr>
            <w:tcW w:type="dxa" w:w="3197"/>
            <w:vAlign w:val="cente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sz w:val="14"/>
              </w:rPr>
              <w:t>PV, EV, AC, cash flow, timestamp - cost and earned-value history</w:t>
            </w:r>
          </w:p>
        </w:tc>
      </w:tr>
      <w:tr>
        <w:tc>
          <w:tcPr>
            <w:tcW w:type="dxa" w:w="1267"/>
            <w:vAlign w:val="cente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sz w:val="14"/>
              </w:rPr>
              <w:t>KPIResult</w:t>
            </w:r>
          </w:p>
        </w:tc>
        <w:tc>
          <w:tcPr>
            <w:tcW w:type="dxa" w:w="3197"/>
            <w:vAlign w:val="cente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sz w:val="14"/>
              </w:rPr>
              <w:t>CV, SV, CPI, SPI, EAC, forecast duration - project-control indicators</w:t>
            </w:r>
          </w:p>
        </w:tc>
      </w:tr>
      <w:tr>
        <w:tc>
          <w:tcPr>
            <w:tcW w:type="dxa" w:w="1267"/>
            <w:vAlign w:val="cente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sz w:val="14"/>
              </w:rPr>
              <w:t>RiskResult</w:t>
            </w:r>
          </w:p>
        </w:tc>
        <w:tc>
          <w:tcPr>
            <w:tcW w:type="dxa" w:w="3197"/>
            <w:vAlign w:val="cente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sz w:val="14"/>
              </w:rPr>
              <w:t>probability, class, model version, timestamp - predictive delay-risk output</w:t>
            </w:r>
          </w:p>
        </w:tc>
      </w:tr>
    </w:tbl>
    <w:p>
      <w:pPr>
        <w:keepNext/>
        <w:spacing w:before="140" w:after="60"/>
        <w:jc w:val="center"/>
      </w:pPr>
      <w:r>
        <w:rPr>
          <w:rFonts w:ascii="Times New Roman" w:hAnsi="Times New Roman"/>
          <w:b/>
          <w:sz w:val="20"/>
        </w:rPr>
        <w:t>VI. SYSTEM IMPLEMENTATION</w:t>
      </w:r>
    </w:p>
    <w:p>
      <w:pPr>
        <w:keepNext/>
        <w:spacing w:before="100" w:after="20"/>
        <w:jc w:val="left"/>
      </w:pPr>
      <w:r>
        <w:rPr>
          <w:rFonts w:ascii="Times New Roman" w:hAnsi="Times New Roman"/>
          <w:b/>
          <w:i/>
          <w:sz w:val="20"/>
        </w:rPr>
        <w:t>A. Application Stack</w:t>
      </w:r>
    </w:p>
    <w:p>
      <w:pPr>
        <w:spacing w:after="60" w:line="240" w:lineRule="auto"/>
        <w:ind w:firstLine="202"/>
        <w:jc w:val="both"/>
      </w:pPr>
      <w:r>
        <w:rPr>
          <w:rFonts w:ascii="Times New Roman" w:hAnsi="Times New Roman"/>
          <w:sz w:val="20"/>
        </w:rPr>
        <w:t>The prototype is implemented as a set of independently testable services. Python provides the data-processing and machine-learning environment; FastAPI exposes the ingestion endpoints; PostgreSQL provides relational persistence; Pandas and NumPy support transformation and feature preparation; scikit-learn and gradient-boosted models provide the predictive layer; and Power BI provides the analytical presentation layer. Docker is used to package reproducible service images, while Kubernetes defines the deployment topology.</w:t>
      </w:r>
    </w:p>
    <w:p>
      <w:pPr>
        <w:keepNext/>
        <w:spacing w:before="100" w:after="20"/>
        <w:jc w:val="left"/>
      </w:pPr>
      <w:r>
        <w:rPr>
          <w:rFonts w:ascii="Times New Roman" w:hAnsi="Times New Roman"/>
          <w:b/>
          <w:i/>
          <w:sz w:val="20"/>
        </w:rPr>
        <w:t>B. API and Database Workflow</w:t>
      </w:r>
    </w:p>
    <w:p>
      <w:pPr>
        <w:spacing w:after="60" w:line="240" w:lineRule="auto"/>
        <w:ind w:firstLine="202"/>
        <w:jc w:val="both"/>
      </w:pPr>
      <w:r>
        <w:rPr>
          <w:rFonts w:ascii="Times New Roman" w:hAnsi="Times New Roman"/>
          <w:sz w:val="20"/>
        </w:rPr>
        <w:t>A typical update follows five stages: submission, validation, persistence, analytics, and presentation. A progress submission is first checked against the schema and project identifiers. Accepted data are stored with source and timestamp metadata. A scheduled analytics job then recomputes the relevant EVM measures and predictive features. Risk outputs are written to a dedicated result table. Power BI reads curated views and refreshes the decision-support model according to the configured reporting cadence.</w:t>
      </w:r>
    </w:p>
    <w:p>
      <w:pPr>
        <w:keepNext/>
        <w:spacing w:before="100" w:after="20"/>
        <w:jc w:val="left"/>
      </w:pPr>
      <w:r>
        <w:rPr>
          <w:rFonts w:ascii="Times New Roman" w:hAnsi="Times New Roman"/>
          <w:b/>
          <w:i/>
          <w:sz w:val="20"/>
        </w:rPr>
        <w:t>C. Power BI Semantic Layer</w:t>
      </w:r>
    </w:p>
    <w:p>
      <w:pPr>
        <w:spacing w:after="60" w:line="240" w:lineRule="auto"/>
        <w:ind w:firstLine="202"/>
        <w:jc w:val="both"/>
      </w:pPr>
      <w:r>
        <w:rPr>
          <w:rFonts w:ascii="Times New Roman" w:hAnsi="Times New Roman"/>
          <w:sz w:val="20"/>
        </w:rPr>
        <w:t>The dashboard model separates dimensions such as Project, Activity, Contractor, Trade, and Date from progress and cost facts. DAX measures can then calculate cumulative cost, cumulative earned value, and variance indicators consistently across report pages. Interactive slicers support drill-down from project level to activity level. Risk pages show ranked activities, recent changes in risk, model confidence or probability bands, and the main contributing features so that users can investigate rather than simply receive an alert.</w:t>
      </w:r>
    </w:p>
    <w:p>
      <w:pPr>
        <w:keepNext/>
        <w:spacing w:before="100" w:after="20"/>
        <w:jc w:val="left"/>
      </w:pPr>
      <w:r>
        <w:rPr>
          <w:rFonts w:ascii="Times New Roman" w:hAnsi="Times New Roman"/>
          <w:b/>
          <w:i/>
          <w:sz w:val="20"/>
        </w:rPr>
        <w:t>D. Containerization and Orchestration</w:t>
      </w:r>
    </w:p>
    <w:p>
      <w:pPr>
        <w:spacing w:after="60" w:line="240" w:lineRule="auto"/>
        <w:ind w:firstLine="202"/>
        <w:jc w:val="both"/>
      </w:pPr>
      <w:r>
        <w:rPr>
          <w:rFonts w:ascii="Times New Roman" w:hAnsi="Times New Roman"/>
          <w:sz w:val="20"/>
        </w:rPr>
        <w:t>Each backend component is defined as a versioned Docker image with pinned runtime dependencies. Kubernetes Deployments are used for stateless services, while PostgreSQL is mapped to persistent storage. Configurable parameters such as database credentials and API keys are supplied through Kubernetes Secrets rather than embedded in the image. Health probes provide controlled startup and restart behavior. This structure follows the reproducibility objective of the proposed architecture and separates software packaging from project analytics.</w:t>
      </w:r>
    </w:p>
    <w:p>
      <w:pPr>
        <w:keepNext/>
        <w:spacing w:before="100" w:after="20"/>
        <w:jc w:val="left"/>
      </w:pPr>
      <w:r>
        <w:rPr>
          <w:rFonts w:ascii="Times New Roman" w:hAnsi="Times New Roman"/>
          <w:b/>
          <w:i/>
          <w:sz w:val="20"/>
        </w:rPr>
        <w:t>E. Security and Audit Metadata</w:t>
      </w:r>
    </w:p>
    <w:p>
      <w:pPr>
        <w:spacing w:after="60" w:line="240" w:lineRule="auto"/>
        <w:ind w:firstLine="202"/>
        <w:jc w:val="both"/>
      </w:pPr>
      <w:r>
        <w:rPr>
          <w:rFonts w:ascii="Times New Roman" w:hAnsi="Times New Roman"/>
          <w:sz w:val="20"/>
        </w:rPr>
        <w:t>Project records can pass through multiple organizational boundaries, making traceability important. The proposed schema therefore stores source system, submission timestamp, validation result, record version, and analytical model version. Access control can be applied at the API and database layers, while dashboard permissions can restrict project or contractor views. The approach reflects the data-quality and auditability concerns identified in the reviewed literature [9], [11].</w:t>
      </w:r>
    </w:p>
    <w:p>
      <w:pPr>
        <w:keepNext/>
        <w:spacing w:before="140" w:after="60"/>
        <w:jc w:val="center"/>
      </w:pPr>
      <w:r>
        <w:rPr>
          <w:rFonts w:ascii="Times New Roman" w:hAnsi="Times New Roman"/>
          <w:b/>
          <w:sz w:val="20"/>
        </w:rPr>
        <w:t>VII. VALIDATION FRAMEWORK AND DISCUSSION</w:t>
      </w:r>
    </w:p>
    <w:p>
      <w:pPr>
        <w:keepNext/>
        <w:spacing w:before="100" w:after="20"/>
        <w:jc w:val="left"/>
      </w:pPr>
      <w:r>
        <w:rPr>
          <w:rFonts w:ascii="Times New Roman" w:hAnsi="Times New Roman"/>
          <w:b/>
          <w:i/>
          <w:sz w:val="20"/>
        </w:rPr>
        <w:t>A. Analytical Validation</w:t>
      </w:r>
    </w:p>
    <w:p>
      <w:pPr>
        <w:spacing w:after="60" w:line="240" w:lineRule="auto"/>
        <w:ind w:firstLine="202"/>
        <w:jc w:val="both"/>
      </w:pPr>
      <w:r>
        <w:rPr>
          <w:rFonts w:ascii="Times New Roman" w:hAnsi="Times New Roman"/>
          <w:sz w:val="20"/>
        </w:rPr>
        <w:t>Validation is divided into data, model, and system levels. Data validation checks completeness, schema conformity, duplicate rates, timestamp consistency, and referential integrity. Model validation compares the candidate classifiers on identical time-based test periods and reports a common set of metrics. System validation checks API response correctness, database persistence, analytics-job completion, dashboard refresh success, and consistency between database outputs and dashboard measures.</w:t>
      </w:r>
    </w:p>
    <w:p>
      <w:pPr>
        <w:keepNext/>
        <w:spacing w:before="100" w:after="20"/>
        <w:jc w:val="left"/>
      </w:pPr>
      <w:r>
        <w:rPr>
          <w:rFonts w:ascii="Times New Roman" w:hAnsi="Times New Roman"/>
          <w:b/>
          <w:i/>
          <w:sz w:val="20"/>
        </w:rPr>
        <w:t>B. Literature Benchmark Context</w:t>
      </w:r>
    </w:p>
    <w:p>
      <w:pPr>
        <w:spacing w:after="60" w:line="240" w:lineRule="auto"/>
        <w:ind w:firstLine="202"/>
        <w:jc w:val="both"/>
      </w:pPr>
      <w:r>
        <w:rPr>
          <w:rFonts w:ascii="Times New Roman" w:hAnsi="Times New Roman"/>
          <w:sz w:val="20"/>
        </w:rPr>
        <w:t>The supplied studies provide useful external context for interpreting the eventual prototype measurements. RealCONs demonstrated an operational advantage in data continuity, with five missing earned-value days versus 35 in a conventional comparator and CPI and SPI values of 1.02 and 1.01 versus 0.90 and 0.89 [1]. Restrepo Ramirez and Rua Machado reported mean deviations of 11.05 percent for delay forecasting and 3.61 percent for construction cost-overrun estimation when combining earned-value and cash-flow information with machine learning models [6]. Ghosh et al. found that real-time data availability, data quality, and integration were among the main dashboard challenges reported by practitioners [4]. These findings do not represent results of the proposed platform; they define practical benchmark categories that the prototype should be evaluated against.</w:t>
      </w:r>
    </w:p>
    <w:p>
      <w:pPr>
        <w:keepNext/>
        <w:spacing w:before="100" w:after="20"/>
        <w:jc w:val="left"/>
      </w:pPr>
      <w:r>
        <w:rPr>
          <w:rFonts w:ascii="Times New Roman" w:hAnsi="Times New Roman"/>
          <w:b/>
          <w:i/>
          <w:sz w:val="20"/>
        </w:rPr>
        <w:t>C. Operational Measures</w:t>
      </w:r>
    </w:p>
    <w:p>
      <w:pPr>
        <w:spacing w:after="60" w:line="240" w:lineRule="auto"/>
        <w:ind w:firstLine="202"/>
        <w:jc w:val="both"/>
      </w:pPr>
      <w:r>
        <w:rPr>
          <w:rFonts w:ascii="Times New Roman" w:hAnsi="Times New Roman"/>
          <w:sz w:val="20"/>
        </w:rPr>
        <w:t>In addition to predictive accuracy, the platform should be assessed using operational measures that matter to project-control teams. These include data completeness, ingestion latency, analytical processing time, dashboard refresh latency, database persistence after service restart, and service availability during controlled failure tests. Reporting these measurements alongside model metrics avoids evaluating the project as a machine-learning experiment alone and makes the contribution testable as an integrated software system.</w:t>
      </w:r>
    </w:p>
    <w:p>
      <w:pPr>
        <w:keepNext/>
        <w:spacing w:before="100" w:after="20"/>
        <w:jc w:val="left"/>
      </w:pPr>
      <w:r>
        <w:rPr>
          <w:rFonts w:ascii="Times New Roman" w:hAnsi="Times New Roman"/>
          <w:b/>
          <w:i/>
          <w:sz w:val="20"/>
        </w:rPr>
        <w:t>D. Expected Decision Workflow</w:t>
      </w:r>
    </w:p>
    <w:p>
      <w:pPr>
        <w:spacing w:after="60" w:line="240" w:lineRule="auto"/>
        <w:ind w:firstLine="202"/>
        <w:jc w:val="both"/>
      </w:pPr>
      <w:r>
        <w:rPr>
          <w:rFonts w:ascii="Times New Roman" w:hAnsi="Times New Roman"/>
          <w:sz w:val="20"/>
        </w:rPr>
        <w:t>The intended workflow is a closed loop. A field update changes the stored activity state; the analytics layer recalculates project-control indicators and prediction features; the risk service updates the activity risk score; and the dashboard highlights the change. A project manager can then inspect the activity, compare its current CPI or SPI with recent trends, review the contributing factors, and prioritize further investigation. This operational loop directly connects the data-lifecycle perspective of Radman et al. [8] with the dashboard and predictive capabilities reported by later studies [1], [2], [4], [7].</w:t>
      </w:r>
    </w:p>
    <w:p>
      <w:pPr>
        <w:keepNext/>
        <w:spacing w:before="140" w:after="60"/>
        <w:jc w:val="center"/>
      </w:pPr>
      <w:r>
        <w:rPr>
          <w:rFonts w:ascii="Times New Roman" w:hAnsi="Times New Roman"/>
          <w:b/>
          <w:sz w:val="20"/>
        </w:rPr>
        <w:t>VIII. LIMITATIONS</w:t>
      </w:r>
    </w:p>
    <w:p>
      <w:pPr>
        <w:spacing w:after="60" w:line="240" w:lineRule="auto"/>
        <w:ind w:firstLine="202"/>
        <w:jc w:val="both"/>
      </w:pPr>
      <w:r>
        <w:rPr>
          <w:rFonts w:ascii="Times New Roman" w:hAnsi="Times New Roman"/>
          <w:sz w:val="20"/>
        </w:rPr>
        <w:t>The first limitation is data availability. Construction data are heterogeneous and are often held by different contractors or systems, which can restrict both model training and integration depth. A second limitation is generalizability: models trained on one project type, geography, or contractor environment may not transfer directly to another without recalibration. A third limitation is data quality. Missing, delayed, or inconsistent progress records can propagate into both EVM indicators and predictive features, making validation and audit metadata essential.</w:t>
      </w:r>
    </w:p>
    <w:p>
      <w:pPr>
        <w:spacing w:after="60" w:line="240" w:lineRule="auto"/>
        <w:ind w:firstLine="202"/>
        <w:jc w:val="both"/>
      </w:pPr>
      <w:r>
        <w:rPr>
          <w:rFonts w:ascii="Times New Roman" w:hAnsi="Times New Roman"/>
          <w:sz w:val="20"/>
        </w:rPr>
        <w:t>A fourth limitation is the dependence on assumptions in probabilistic schedule-risk analysis. Zhang and Wang identify assumptions concerning discrete CPM structures, task-duration distributions, independence, and the reliability of progress data [5]. Such assumptions may not hold equally across every project. Finally, cloud-native deployment introduces operational dependencies on connectivity, infrastructure configuration, and organizational readiness. These constraints should be measured as part of the implementation rather than treated as purely technical details.</w:t>
      </w:r>
    </w:p>
    <w:p>
      <w:pPr>
        <w:keepNext/>
        <w:spacing w:before="140" w:after="60"/>
        <w:jc w:val="center"/>
      </w:pPr>
      <w:r>
        <w:rPr>
          <w:rFonts w:ascii="Times New Roman" w:hAnsi="Times New Roman"/>
          <w:b/>
          <w:sz w:val="20"/>
        </w:rPr>
        <w:t>IX. CONCLUSION AND FUTURE WORK</w:t>
      </w:r>
    </w:p>
    <w:p>
      <w:pPr>
        <w:spacing w:after="60" w:line="240" w:lineRule="auto"/>
        <w:ind w:firstLine="202"/>
        <w:jc w:val="both"/>
      </w:pPr>
      <w:r>
        <w:rPr>
          <w:rFonts w:ascii="Times New Roman" w:hAnsi="Times New Roman"/>
          <w:sz w:val="20"/>
        </w:rPr>
        <w:t>This paper presented a cloud-native construction project intelligence platform that connects project data ingestion, persistent storage, EVM-based control measures, machine-learning delay prediction, probabilistic schedule-risk analysis, and Power BI decision support within a reproducible deployment architecture. The literature review shows that these capabilities have been investigated individually or in partial combinations: real-time monitoring improves data continuity, dashboards improve visibility, machine learning supports delay prediction, and probabilistic reliability methods quantify schedule risk. The proposed contribution is the integration of these capabilities around a common data model and deployable software architecture.</w:t>
      </w:r>
    </w:p>
    <w:p>
      <w:pPr>
        <w:spacing w:after="60" w:line="240" w:lineRule="auto"/>
        <w:ind w:firstLine="202"/>
        <w:jc w:val="both"/>
      </w:pPr>
      <w:r>
        <w:rPr>
          <w:rFonts w:ascii="Times New Roman" w:hAnsi="Times New Roman"/>
          <w:sz w:val="20"/>
        </w:rPr>
        <w:t>The next implementation stage is to populate the schema with project records, train and compare the candidate models, connect the resulting views to Power BI, and measure both analytical and system-level performance. Future extensions can add richer BIM synchronization, IoT and mobile field capture, automated drift detection, explainable prediction panels, and computer-vision progress signals. The long-term goal is a project-control environment in which schedule and cost deviations are not only displayed after they occur, but are continuously contextualized with evidence about their likely future impact.</w:t>
      </w:r>
    </w:p>
    <w:p>
      <w:pPr>
        <w:keepNext/>
        <w:spacing w:before="140" w:after="60"/>
        <w:jc w:val="center"/>
      </w:pPr>
      <w:r>
        <w:rPr>
          <w:rFonts w:ascii="Times New Roman" w:hAnsi="Times New Roman"/>
          <w:b/>
          <w:sz w:val="20"/>
        </w:rPr>
        <w:t>REFERENCES</w:t>
      </w:r>
    </w:p>
    <w:p>
      <w:pPr>
        <w:spacing w:after="10" w:line="228" w:lineRule="auto"/>
        <w:ind w:left="288" w:hanging="288"/>
        <w:jc w:val="both"/>
      </w:pPr>
      <w:r>
        <w:rPr>
          <w:rFonts w:ascii="Times New Roman" w:hAnsi="Times New Roman"/>
          <w:sz w:val="15"/>
        </w:rPr>
        <w:t>[1] K. Radman, M. B. Jelodar, and R. Lovreglio, "A digital monitoring, delay detection and visualisation framework for construction projects: RealCONs," Automation in Construction, vol. 183, Art. no. 106781, 2026, doi: 10.1016/j.autcon.2026.106781.</w:t>
      </w:r>
    </w:p>
    <w:p>
      <w:pPr>
        <w:spacing w:after="10" w:line="228" w:lineRule="auto"/>
        <w:ind w:left="288" w:hanging="288"/>
        <w:jc w:val="both"/>
      </w:pPr>
      <w:r>
        <w:rPr>
          <w:rFonts w:ascii="Times New Roman" w:hAnsi="Times New Roman"/>
          <w:sz w:val="15"/>
        </w:rPr>
        <w:t>[2] C. N. Egwim, H. Alaka, L. O. Toriola-Coker, H. Balogun, and F. Sunmola, "Applied artificial intelligence for predicting construction projects delay," Machine Learning with Applications, vol. 6, Art. no. 100166, 2021, doi: 10.1016/j.mlwa.2021.100166.</w:t>
      </w:r>
    </w:p>
    <w:p>
      <w:pPr>
        <w:spacing w:after="10" w:line="228" w:lineRule="auto"/>
        <w:ind w:left="288" w:hanging="288"/>
        <w:jc w:val="both"/>
      </w:pPr>
      <w:r>
        <w:rPr>
          <w:rFonts w:ascii="Times New Roman" w:hAnsi="Times New Roman"/>
          <w:sz w:val="15"/>
        </w:rPr>
        <w:t>[3] S. Neththikumara, M. W. P. Maduranga, N. M. Narasinghe, and C. Jayalath, "Machine Learning Approaches for Analyzing and Predicting Concurrent Delays in Construction Projects," Research Square preprint, Mar. 3, 2025, doi: 10.21203/rs.3.rs-6125612/v1.</w:t>
      </w:r>
    </w:p>
    <w:p>
      <w:pPr>
        <w:spacing w:after="10" w:line="228" w:lineRule="auto"/>
        <w:ind w:left="288" w:hanging="288"/>
        <w:jc w:val="both"/>
      </w:pPr>
      <w:r>
        <w:rPr>
          <w:rFonts w:ascii="Times New Roman" w:hAnsi="Times New Roman"/>
          <w:sz w:val="15"/>
        </w:rPr>
        <w:t>[4] S. Ghosh, N. Mukherjee, and T. McCuen, "Use of Visual Dashboards in Construction Projects," EPiC Series in Built Environment, vol. 5, pp. 486-494, 2024.</w:t>
      </w:r>
    </w:p>
    <w:p>
      <w:pPr>
        <w:spacing w:after="10" w:line="228" w:lineRule="auto"/>
        <w:ind w:left="288" w:hanging="288"/>
        <w:jc w:val="both"/>
      </w:pPr>
      <w:r>
        <w:rPr>
          <w:rFonts w:ascii="Times New Roman" w:hAnsi="Times New Roman"/>
          <w:sz w:val="15"/>
        </w:rPr>
        <w:t>[5] S. Zhang and X. Wang, "Quantifying Schedule Delay Risk in Construction Projects: A Data-Driven Approach with BIM and Probabilistic Reliability Analysis," Advances in Civil Engineering, vol. 2023, Art. ID 5525655, 2023, doi: 10.1155/2023/5525655.</w:t>
      </w:r>
    </w:p>
    <w:p>
      <w:pPr>
        <w:spacing w:after="10" w:line="228" w:lineRule="auto"/>
        <w:ind w:left="288" w:hanging="288"/>
        <w:jc w:val="both"/>
      </w:pPr>
      <w:r>
        <w:rPr>
          <w:rFonts w:ascii="Times New Roman" w:hAnsi="Times New Roman"/>
          <w:sz w:val="15"/>
        </w:rPr>
        <w:t>[6] A. F. Restrepo Ramirez and C. A. Rua Machado, "Predicting Delays and Cost Overruns in Construction Projects: A Machine Learning Approach," Revista EIA, vol. 22, no. 44, Art. no. Reia4415, pp. 1-30, 2025, doi: 10.24050/reia.v22i44.1861.</w:t>
      </w:r>
    </w:p>
    <w:p>
      <w:pPr>
        <w:spacing w:after="10" w:line="228" w:lineRule="auto"/>
        <w:ind w:left="288" w:hanging="288"/>
        <w:jc w:val="both"/>
      </w:pPr>
      <w:r>
        <w:rPr>
          <w:rFonts w:ascii="Times New Roman" w:hAnsi="Times New Roman"/>
          <w:sz w:val="15"/>
        </w:rPr>
        <w:t>[7] H. Abdulaziz and H. M. Ahmed, "A Customized Business Intelligence Dashboard Utilizing Building Information Modeling for Better Control and Management of Construction Projects," Buildings, vol. 16, Art. no. 1318, 2026, doi: 10.3390/buildings16071318.</w:t>
      </w:r>
    </w:p>
    <w:p>
      <w:pPr>
        <w:spacing w:after="10" w:line="228" w:lineRule="auto"/>
        <w:ind w:left="288" w:hanging="288"/>
        <w:jc w:val="both"/>
      </w:pPr>
      <w:r>
        <w:rPr>
          <w:rFonts w:ascii="Times New Roman" w:hAnsi="Times New Roman"/>
          <w:sz w:val="15"/>
        </w:rPr>
        <w:t>[8] K. Radman, M. B. Jelodar, R. Lovreglio, E. Ghazizadeh, and S. Wilkinson, "Digital technologies and data-driven delay management process for construction projects," Frontiers in Built Environment, vol. 8, Art. no. 1029586, 2022, doi: 10.3389/fbuil.2022.1029586.</w:t>
      </w:r>
    </w:p>
    <w:p>
      <w:pPr>
        <w:spacing w:after="10" w:line="228" w:lineRule="auto"/>
        <w:ind w:left="288" w:hanging="288"/>
        <w:jc w:val="both"/>
      </w:pPr>
      <w:r>
        <w:rPr>
          <w:rFonts w:ascii="Times New Roman" w:hAnsi="Times New Roman"/>
          <w:sz w:val="15"/>
        </w:rPr>
        <w:t>[9] B. O. Sanusi, "The Role of Data-Driven Decision-Making in Reducing Project Delays and Cost Overruns in Civil Engineering Projects," SAMRIDDHI: A Journal of Physical Sciences, Engineering and Technology, vol. 16, no. 4, pp. 182-192, 2024, doi: 10.18090/samriddhi.v16i04.08.</w:t>
      </w:r>
    </w:p>
    <w:p>
      <w:pPr>
        <w:spacing w:after="10" w:line="228" w:lineRule="auto"/>
        <w:ind w:left="288" w:hanging="288"/>
        <w:jc w:val="both"/>
      </w:pPr>
      <w:r>
        <w:rPr>
          <w:rFonts w:ascii="Times New Roman" w:hAnsi="Times New Roman"/>
          <w:sz w:val="15"/>
        </w:rPr>
        <w:t>[10] R. Gajera, "Integrating Power BI with Project Control Systems: Enhancing Real-Time Cost Tracking and Visualization in Construction," International Journal of Scientific Research in Civil Engineering, vol. 7, no. 5, pp. 154-160, 2023, doi: 10.32628/IJSRCE123761.</w:t>
      </w:r>
    </w:p>
    <w:p>
      <w:pPr>
        <w:spacing w:after="10" w:line="228" w:lineRule="auto"/>
        <w:ind w:left="288" w:hanging="288"/>
        <w:jc w:val="both"/>
      </w:pPr>
      <w:r>
        <w:rPr>
          <w:rFonts w:ascii="Times New Roman" w:hAnsi="Times New Roman"/>
          <w:sz w:val="15"/>
        </w:rPr>
        <w:t>[11] J. West, M. Siddhpura, A. Evangelista, and A. Haddad, "Building Condition Auditing (BCA)-Improving Auditability-Reducing Ambiguity," Buildings, vol. 14, Art. no. 3645, 2024, doi: 10.3390/buildings14113645.</w:t>
      </w:r>
    </w:p>
    <w:p>
      <w:pPr>
        <w:spacing w:after="10" w:line="228" w:lineRule="auto"/>
        <w:ind w:left="288" w:hanging="288"/>
        <w:jc w:val="both"/>
      </w:pPr>
      <w:r>
        <w:rPr>
          <w:rFonts w:ascii="Times New Roman" w:hAnsi="Times New Roman"/>
          <w:sz w:val="15"/>
        </w:rPr>
        <w:t>[12] A. Al-Sulaiti, M. Mansour, H. Al-Yafei, S. Aseel, M. Kucukvar, and N. C. Onat, "Using data analytics and visualization dashboard for engineering, procurement, and construction project performance assessment," in Proc. 2021 IEEE 8th Int. Conf. Industrial Engineering and Applications, pp. 207-211, 2021, doi: 10.1109/ICIEA52957.2021.9436728.</w:t>
      </w:r>
    </w:p>
    <w:p>
      <w:pPr>
        <w:spacing w:after="10" w:line="228" w:lineRule="auto"/>
        <w:ind w:left="288" w:hanging="288"/>
        <w:jc w:val="both"/>
      </w:pPr>
      <w:r>
        <w:rPr>
          <w:rFonts w:ascii="Times New Roman" w:hAnsi="Times New Roman"/>
          <w:sz w:val="15"/>
        </w:rPr>
        <w:t>[13] C.-Y. Chiu and A. D. Russell, "Design of a construction management data visualization environment: A top-down approach," Automation in Construction, vol. 20, no. 4, pp. 399-417, 2011, doi: 10.1016/j.autcon.2010.11.010.</w:t>
      </w:r>
    </w:p>
    <w:sectPr w:rsidR="00FC693F" w:rsidRPr="0006063C" w:rsidSect="00034616">
      <w:type w:val="continuous"/>
      <w:pgSz w:w="11909" w:h="16834"/>
      <w:pgMar w:top="540" w:right="893" w:bottom="1440" w:left="893" w:header="360" w:footer="36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16"/>
      </w:rPr>
      <w:t>XXX-X-XXXX-XXXX-X/XX/$XX.00 ©20XX IEEE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Native Construction Project Intelligence Platform for Predictive Delay and Cost Monitoring</dc:title>
  <dc:subject>IEEE conference paper draft</dc:subject>
  <dc:creator>Aryan Kishor Sao</dc:creator>
  <cp:keywords>construction, delay prediction, cost monitoring, Power BI, Docker, Kubernetes</cp:keywords>
  <dc:description>Draft formatted using supplied IEEE A4 conference template guidance.</dc:description>
  <cp:lastModifiedBy/>
  <cp:revision>1</cp:revision>
  <dcterms:created xsi:type="dcterms:W3CDTF">2013-12-23T23:15:00Z</dcterms:created>
  <dcterms:modified xsi:type="dcterms:W3CDTF">2013-12-23T23:15:00Z</dcterms:modified>
  <cp:category/>
</cp:coreProperties>
</file>