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sz w:val="48"/>
        </w:rPr>
        <w:t>Cloud-Native Construction Project Intelligence Platform for Predictive Delay-Risk Scoring and Real-Time Performance Analytics</w:t>
      </w:r>
    </w:p>
    <w:p>
      <w:pPr>
        <w:spacing w:after="280"/>
        <w:jc w:val="center"/>
      </w:pPr>
      <w:r>
        <w:rPr>
          <w:rFonts w:ascii="Times New Roman" w:hAnsi="Times New Roman"/>
          <w:b/>
          <w:sz w:val="20"/>
        </w:rPr>
        <w:t>Aryan Kishor Sao</w:t>
        <w:br/>
      </w:r>
      <w:r>
        <w:rPr>
          <w:rFonts w:ascii="Times New Roman" w:hAnsi="Times New Roman"/>
          <w:i/>
          <w:sz w:val="18"/>
        </w:rPr>
        <w:t>Dept. of Computer Science and Engineering</w:t>
        <w:br/>
        <w:t>Bhilai Institute of Technology, Durg, India</w:t>
        <w:br/>
        <w:t>aryanksao@example.edu</w:t>
        <w:br/>
        <w:br/>
      </w:r>
      <w:r>
        <w:rPr>
          <w:rFonts w:ascii="Times New Roman" w:hAnsi="Times New Roman"/>
          <w:b/>
          <w:sz w:val="20"/>
        </w:rPr>
        <w:t>Co-Author Name</w:t>
        <w:br/>
      </w:r>
      <w:r>
        <w:rPr>
          <w:rFonts w:ascii="Times New Roman" w:hAnsi="Times New Roman"/>
          <w:i/>
          <w:sz w:val="18"/>
        </w:rPr>
        <w:t>Dept. of Civil Engineering</w:t>
        <w:br/>
        <w:t>Bhilai Institute of Technology, Durg, India</w:t>
        <w:br/>
        <w:t>coauthor@example.edu</w:t>
      </w:r>
    </w:p>
    <w:p>
      <w:pPr>
        <w:sectPr>
          <w:pgSz w:w="11909" w:h="16834"/>
          <w:pgMar w:top="1080" w:right="893" w:bottom="1440" w:left="893" w:header="720" w:footer="720" w:gutter="0"/>
          <w:cols w:space="720"/>
          <w:docGrid w:linePitch="360"/>
        </w:sectPr>
      </w:pPr>
    </w:p>
    <w:p>
      <w:pPr>
        <w:spacing w:after="80"/>
        <w:jc w:val="both"/>
      </w:pPr>
      <w:r>
        <w:rPr>
          <w:rFonts w:ascii="Times New Roman" w:hAnsi="Times New Roman"/>
          <w:b/>
          <w:i/>
          <w:sz w:val="18"/>
        </w:rPr>
        <w:t>Abstract—</w:t>
      </w:r>
      <w:r>
        <w:rPr>
          <w:rFonts w:ascii="Times New Roman" w:hAnsi="Times New Roman"/>
          <w:sz w:val="18"/>
        </w:rPr>
        <w:t>Construction project controls depend heavily on tracking the triple constraints of schedule, cost, and scope. However, contemporary management workflows remain hindered by fragmented reporting mechanisms, retrospective performance indexes, and a systemic separation between analytical computation and software deployment infrastructure. Existing studies frequently investigate visual dashboards, schedule delay models, or cloud storage in isolation, leaving a critical gap in deployable, reproducible systems. This paper presents the architecture and methodology for a cloud-native construction project intelligence platform that integrates project control data across containerized microservices and automated visual analytics. The system incorporates: (1) a standardized data ingestion pipeline developed in Python and FastAPI; (2) a relational PostgreSQL database structuring master project parameters and append-only time-series progress updates; (3) an analytics engine executing Earned Value Management (EVM) and probabilistic delay-risk forecasting via machine learning classification and reliability formulations; (4) a decision-support layer realized through Microsoft Power BI; and (5) a reproducible cloud-native orchestration topology deployed on Kubernetes using Docker containers. We demonstrate how the platform unifies retrospective variance metrics with predictive risk scoring, enabling continuous schedule-cost visibility and early delay detection.</w:t>
      </w:r>
    </w:p>
    <w:p>
      <w:pPr>
        <w:spacing w:after="160"/>
        <w:jc w:val="both"/>
      </w:pPr>
      <w:r>
        <w:rPr>
          <w:rFonts w:ascii="Times New Roman" w:hAnsi="Times New Roman"/>
          <w:b/>
          <w:i/>
          <w:sz w:val="18"/>
        </w:rPr>
        <w:t>Keywords—</w:t>
      </w:r>
      <w:r>
        <w:rPr>
          <w:rFonts w:ascii="Times New Roman" w:hAnsi="Times New Roman"/>
          <w:sz w:val="18"/>
        </w:rPr>
        <w:t>construction project intelligence, Earned Value Management, delay-risk prediction, Power BI, Docker, Kubernetes, cloud-native architecture, visual analytics.</w:t>
      </w:r>
    </w:p>
    <w:p>
      <w:pPr>
        <w:spacing w:before="240" w:after="80"/>
        <w:jc w:val="center"/>
      </w:pPr>
      <w:r>
        <w:rPr>
          <w:rFonts w:ascii="Times New Roman" w:hAnsi="Times New Roman"/>
          <w:b/>
          <w:sz w:val="20"/>
        </w:rPr>
        <w:t>I. INTRODUCTION</w:t>
      </w:r>
    </w:p>
    <w:p>
      <w:pPr>
        <w:spacing w:after="80" w:line="240" w:lineRule="auto"/>
        <w:ind w:firstLine="202"/>
        <w:jc w:val="both"/>
      </w:pPr>
      <w:r>
        <w:rPr>
          <w:rFonts w:ascii="Times New Roman" w:hAnsi="Times New Roman"/>
          <w:sz w:val="20"/>
        </w:rPr>
        <w:t>Civil engineering and capital construction projects are characterized by high operational complexity, multifaceted trade interdependencies, and strict contractual schedules. Despite advancements in digital scheduling platforms such as Oracle Primavera P6 and Microsoft Project, cost overruns and schedule slippages remain endemic across the global construction industry. A significant root cause of project distress is delayed visibility: progress and financial records are traditionally collected through manual site logs, disparate spreadsheets, and disconnected subcontractor reports. Consequently, schedule and cost variances are identified only after periodic commercial meetings, long after corrective interventions could prevent budget and timeline damage.</w:t>
      </w:r>
    </w:p>
    <w:p>
      <w:pPr>
        <w:spacing w:after="80" w:line="240" w:lineRule="auto"/>
        <w:ind w:firstLine="202"/>
        <w:jc w:val="both"/>
      </w:pPr>
      <w:r>
        <w:rPr>
          <w:rFonts w:ascii="Times New Roman" w:hAnsi="Times New Roman"/>
          <w:sz w:val="20"/>
        </w:rPr>
        <w:t>Industry 4.0 initiatives have introduced automated data acquisition mechanisms, including Building Information Modeling (BIM), Quick Response (QR) field scanning, and Internet of Things (IoT) sensors. Furthermore, Business Intelligence (BI) platforms—predominantly Microsoft Power BI—have demonstrated efficacy in synthesizing complex project data into interactive dashboards. However, current industry practice exhibits three severe systemic deficiencies:</w:t>
      </w:r>
    </w:p>
    <w:p>
      <w:pPr>
        <w:spacing w:after="80" w:line="240" w:lineRule="auto"/>
        <w:ind w:firstLine="202"/>
        <w:jc w:val="both"/>
      </w:pPr>
      <w:r>
        <w:rPr>
          <w:rFonts w:ascii="Times New Roman" w:hAnsi="Times New Roman"/>
          <w:sz w:val="20"/>
        </w:rPr>
        <w:t>(1) Data Fragmentation and Processing Latency: Site records, cost sheets, and baseline schedules reside in siloed applications without a unified schema, forcing project teams to manually reconstruct reporting models at every reporting cycle.</w:t>
      </w:r>
    </w:p>
    <w:p>
      <w:pPr>
        <w:spacing w:after="80" w:line="240" w:lineRule="auto"/>
        <w:ind w:firstLine="202"/>
        <w:jc w:val="both"/>
      </w:pPr>
      <w:r>
        <w:rPr>
          <w:rFonts w:ascii="Times New Roman" w:hAnsi="Times New Roman"/>
          <w:sz w:val="20"/>
        </w:rPr>
        <w:t>(2) Retrospective Rather Than Predictive Insights: Standard project monitoring relies on deterministic Earned Value Management (EVM) formulas. While indexes such as the Cost Performance Index (CPI) and Schedule Performance Index (SPI) describe historical performance, they lack probabilistic forecasting mechanisms to warn project managers of future activity-level delay vulnerabilities before critical-path activities slip.</w:t>
      </w:r>
    </w:p>
    <w:p>
      <w:pPr>
        <w:spacing w:after="80" w:line="240" w:lineRule="auto"/>
        <w:ind w:firstLine="202"/>
        <w:jc w:val="both"/>
      </w:pPr>
      <w:r>
        <w:rPr>
          <w:rFonts w:ascii="Times New Roman" w:hAnsi="Times New Roman"/>
          <w:sz w:val="20"/>
        </w:rPr>
        <w:t>(3) Disconnection Between Analytical Models and Production Deployment: Advanced predictive algorithms and delay-risk reliability models published in civil engineering literature are typically implemented as isolated research scripts. They lack reproducible, containerized software architectures capable of auto-scaling, managing secrets, and sustaining continuous integration within enterprise IT ecosystems.</w:t>
      </w:r>
    </w:p>
    <w:p>
      <w:pPr>
        <w:spacing w:after="80" w:line="240" w:lineRule="auto"/>
        <w:ind w:firstLine="202"/>
        <w:jc w:val="both"/>
      </w:pPr>
      <w:r>
        <w:rPr>
          <w:rFonts w:ascii="Times New Roman" w:hAnsi="Times New Roman"/>
          <w:sz w:val="20"/>
        </w:rPr>
        <w:t>To address these limitations, this paper proposes an end-to-end, reproducible, cloud-native construction project intelligence platform. The platform couples containerized Python data pipelines with PostgreSQL storage, integrates machine learning and probabilistic delay-risk modeling, and exposes decision-ready semantic views directly to interactive Power BI dashboards, all orchestrated across a resilient Kubernetes cluster.</w:t>
      </w:r>
    </w:p>
    <w:p>
      <w:pPr>
        <w:spacing w:before="240" w:after="80"/>
        <w:jc w:val="center"/>
      </w:pPr>
      <w:r>
        <w:rPr>
          <w:rFonts w:ascii="Times New Roman" w:hAnsi="Times New Roman"/>
          <w:b/>
          <w:sz w:val="20"/>
        </w:rPr>
        <w:t>II. RELATED WORK</w:t>
      </w:r>
    </w:p>
    <w:p>
      <w:pPr>
        <w:spacing w:before="160" w:after="40"/>
      </w:pPr>
      <w:r>
        <w:rPr>
          <w:rFonts w:ascii="Times New Roman" w:hAnsi="Times New Roman"/>
          <w:b/>
          <w:i/>
          <w:sz w:val="20"/>
        </w:rPr>
        <w:t>A. Construction Project Visualization and Business Intelligence</w:t>
      </w:r>
    </w:p>
    <w:p>
      <w:pPr>
        <w:spacing w:after="80" w:line="240" w:lineRule="auto"/>
        <w:ind w:firstLine="202"/>
        <w:jc w:val="both"/>
      </w:pPr>
      <w:r>
        <w:rPr>
          <w:rFonts w:ascii="Times New Roman" w:hAnsi="Times New Roman"/>
          <w:sz w:val="20"/>
        </w:rPr>
        <w:t>Visual analytics provides project stakeholders with intuitive, multi-dimensional representations of progress data. Chiu and Russell pioneered the structured development of construction data visualization environments, emphasizing that top-down visual frameworks significantly improve schedule comprehension and task status identification compared to static Gantt charts [1]. However, their early framework remained schedule-centric, lacking dynamic linkages to cost control, resource consumption, or automated prediction.</w:t>
      </w:r>
    </w:p>
    <w:p>
      <w:pPr>
        <w:spacing w:after="80" w:line="240" w:lineRule="auto"/>
        <w:ind w:firstLine="202"/>
        <w:jc w:val="both"/>
      </w:pPr>
      <w:r>
        <w:rPr>
          <w:rFonts w:ascii="Times New Roman" w:hAnsi="Times New Roman"/>
          <w:sz w:val="20"/>
        </w:rPr>
        <w:t>With the maturation of enterprise analytics, business intelligence dashboards have gained widespread traction. Al-Sulaiti et al. developed Power BI dashboards to consolidate Engineering, Procurement, and Construction (EPC) Key Performance Indicators (KPIs), validating that dynamic reporting elevates management visibility and enhances multi-stakeholder collaboration [9]. In an empirical survey conducted across construction practitioners, Ghosh et al. reported that 48% of surveyed industry professionals utilize Power BI as their primary visualization platform, with 45% deploying digital dashboards to manage project performance [3]. Crucially, the survey revealed that the absence of real-time data integration (cited by 44% of respondents) and the prevalence of inaccurate or incomplete project data (cited by 35%) constitute the greatest barriers to dashboard effectiveness.</w:t>
      </w:r>
    </w:p>
    <w:p>
      <w:pPr>
        <w:spacing w:after="80" w:line="240" w:lineRule="auto"/>
        <w:ind w:firstLine="202"/>
        <w:jc w:val="both"/>
      </w:pPr>
      <w:r>
        <w:rPr>
          <w:rFonts w:ascii="Times New Roman" w:hAnsi="Times New Roman"/>
          <w:sz w:val="20"/>
        </w:rPr>
        <w:t>Abdulaziz and Ahmed established a customized Power BI dashboard integrated with Building Information Modeling (BIM) for residential structures, demonstrating how DAX-driven measures automate the computation of cumulative planned value, earned value, and actual cost curves [5]. Similarly, Gajera investigated the integration of Power BI with project control systems, reporting that dynamic cost tracking reduced reporting cycle latency by 25% and empowered 85% of survey respondents to make more reliable budget and resource allocation decisions [6]. Nevertheless, existing BI implementations remain predominantly descriptive, visualizing retrospective variances without computing predictive risk classifications.</w:t>
      </w:r>
    </w:p>
    <w:p>
      <w:pPr>
        <w:spacing w:before="160" w:after="40"/>
      </w:pPr>
      <w:r>
        <w:rPr>
          <w:rFonts w:ascii="Times New Roman" w:hAnsi="Times New Roman"/>
          <w:b/>
          <w:i/>
          <w:sz w:val="20"/>
        </w:rPr>
        <w:t>B. Construction Delay Prediction and Probabilistic Risk Modeling</w:t>
      </w:r>
    </w:p>
    <w:p>
      <w:pPr>
        <w:spacing w:after="80" w:line="240" w:lineRule="auto"/>
        <w:ind w:firstLine="202"/>
        <w:jc w:val="both"/>
      </w:pPr>
      <w:r>
        <w:rPr>
          <w:rFonts w:ascii="Times New Roman" w:hAnsi="Times New Roman"/>
          <w:sz w:val="20"/>
        </w:rPr>
        <w:t>Construction delay analysis has evolved from deterministic Critical Path Method (CPM) assessments toward data-driven, probabilistic methodologies. Sanusi conducted an extensive evaluation of data-driven decision-making (DDDM) across civil engineering infrastructure, highlighting that data-driven predictive workflows reduce average schedule slippage by 25% to 40% across highway, rail, and structural projects [7]. Machine learning algorithms (such as Random Forest, Gradient Boosting, and Support Vector Machines) have demonstrated robust capabilities in identifying nonlinear risk patterns from historical project datasets.</w:t>
      </w:r>
    </w:p>
    <w:p>
      <w:pPr>
        <w:spacing w:after="80" w:line="240" w:lineRule="auto"/>
        <w:ind w:firstLine="202"/>
        <w:jc w:val="both"/>
      </w:pPr>
      <w:r>
        <w:rPr>
          <w:rFonts w:ascii="Times New Roman" w:hAnsi="Times New Roman"/>
          <w:sz w:val="20"/>
        </w:rPr>
        <w:t>Complementing empirical machine learning, Zhang and Wang formulated a rigorous probabilistic reliability framework for construction schedules using the Second-Order Reliability Method (SORM) and a modified Dijkstra algorithm [4]. Recognizing that the deterministic max operator in CPM forward passes is non-differentiable, Zhang and Wang incorporated a Softmax surrogate function, enabling analytical gradient backpropagation to identify the Most Probable Point (MPP) of schedule failure under uncertain PERT-Beta activity distributions. While their method demonstrated high mathematical fidelity, the underlying algorithm was evaluated as an isolated numerical model, lacking automated data ingestion, persistent database storage, or dashboard interfaces.</w:t>
      </w:r>
    </w:p>
    <w:p>
      <w:pPr>
        <w:spacing w:after="80" w:line="240" w:lineRule="auto"/>
        <w:ind w:firstLine="202"/>
        <w:jc w:val="both"/>
      </w:pPr>
      <w:r>
        <w:rPr>
          <w:rFonts w:ascii="Times New Roman" w:hAnsi="Times New Roman"/>
          <w:sz w:val="20"/>
        </w:rPr>
        <w:t>Concurrently, Radman et al. introduced the RealCONs framework, combining mobile QR code field scanning, cloud SQL storage, and Power BI dashboards to track high-security Electrical and Instrumentation (E&amp;I) construction [2]. Their 90-day comparative study demonstrated that structured mobile data capture achieved statistically superior reporting continuity, recording seven times fewer missing earned-value days (Chi-square = 28.929, p &lt; 0.001) and maintaining predictable schedule indicators (SPI = 1.01 vs 0.89) during active delay events. However, the analytical layer of RealCONs was fundamentally restricted to linear regression trends and deterministic Earned Schedule formulations, omitting predictive machine learning classification and automated container deployment.</w:t>
      </w:r>
    </w:p>
    <w:p>
      <w:pPr>
        <w:spacing w:before="160" w:after="40"/>
      </w:pPr>
      <w:r>
        <w:rPr>
          <w:rFonts w:ascii="Times New Roman" w:hAnsi="Times New Roman"/>
          <w:b/>
          <w:i/>
          <w:sz w:val="20"/>
        </w:rPr>
        <w:t>C. Cloud-Based and Cloud-Native Construction Data Management</w:t>
      </w:r>
    </w:p>
    <w:p>
      <w:pPr>
        <w:spacing w:after="80" w:line="240" w:lineRule="auto"/>
        <w:ind w:firstLine="202"/>
        <w:jc w:val="both"/>
      </w:pPr>
      <w:r>
        <w:rPr>
          <w:rFonts w:ascii="Times New Roman" w:hAnsi="Times New Roman"/>
          <w:sz w:val="20"/>
        </w:rPr>
        <w:t>The architecture governing construction data flows directly impacts reporting fidelity. Radman et al. synthesized digital delay management technologies across a four-stage systematic literature review, establishing that although 61% of studies deploy standalone tracking tools, an integrated data lifecycle bridging Data Collection (DC), Data Screening/Analysis (DA), and Data Presentation (DP) is essential to eliminate data latency [8]. They proposed a three-tier conceptual architecture linking site devices, relational Database Management Systems (DBMS), and decision-making frontends.</w:t>
      </w:r>
    </w:p>
    <w:p>
      <w:pPr>
        <w:spacing w:after="80" w:line="240" w:lineRule="auto"/>
        <w:ind w:firstLine="202"/>
        <w:jc w:val="both"/>
      </w:pPr>
      <w:r>
        <w:rPr>
          <w:rFonts w:ascii="Times New Roman" w:hAnsi="Times New Roman"/>
          <w:sz w:val="20"/>
        </w:rPr>
        <w:t>Despite these conceptual foundations, the construction domain has been slow to adopt modern cloud-native architectural patterns. While enterprise software in other engineering disciplines utilizes microservices, containerization (Docker), and orchestration engines (Kubernetes) to guarantee scalability, automated fault recovery, and configuration isolation, construction informatics literature has rarely translated these infrastructure paradigms into a deployable, open-standard intelligence platform.</w:t>
      </w:r>
    </w:p>
    <w:p>
      <w:pPr>
        <w:spacing w:before="240" w:after="80"/>
        <w:jc w:val="center"/>
      </w:pPr>
      <w:r>
        <w:rPr>
          <w:rFonts w:ascii="Times New Roman" w:hAnsi="Times New Roman"/>
          <w:b/>
          <w:sz w:val="20"/>
        </w:rPr>
        <w:t>III. RESEARCH GAP AND OBJECTIVES</w:t>
      </w:r>
    </w:p>
    <w:p>
      <w:pPr>
        <w:spacing w:before="160" w:after="40"/>
      </w:pPr>
      <w:r>
        <w:rPr>
          <w:rFonts w:ascii="Times New Roman" w:hAnsi="Times New Roman"/>
          <w:b/>
          <w:i/>
          <w:sz w:val="20"/>
        </w:rPr>
        <w:t>A. Research Gap</w:t>
      </w:r>
    </w:p>
    <w:p>
      <w:pPr>
        <w:spacing w:after="80" w:line="240" w:lineRule="auto"/>
        <w:ind w:firstLine="202"/>
        <w:jc w:val="both"/>
      </w:pPr>
      <w:r>
        <w:rPr>
          <w:rFonts w:ascii="Times New Roman" w:hAnsi="Times New Roman"/>
          <w:sz w:val="20"/>
        </w:rPr>
        <w:t>The reviewed literature demonstrates significant progress across individual domains of project control. Visualization researchers have demonstrated the efficacy of Power BI in communicating project health, mathematical researchers have formulated advanced probabilistic delay estimations, and field researchers have established the validity of low-cost mobile tracking. However, these capabilities remain fundamentally disconnected in terms of: (1) the separation of predictive algorithms from visual business intelligence; (2) the fragility of manual, spreadsheet-bound data preparation pipelines; and (3) the absence of reproducible, cloud-native container architectures that orchestrate ingestion, storage, analytics, and presentation.</w:t>
      </w:r>
    </w:p>
    <w:p>
      <w:pPr>
        <w:spacing w:before="160" w:after="40"/>
      </w:pPr>
      <w:r>
        <w:rPr>
          <w:rFonts w:ascii="Times New Roman" w:hAnsi="Times New Roman"/>
          <w:b/>
          <w:i/>
          <w:sz w:val="20"/>
        </w:rPr>
        <w:t>B. Research Objectives</w:t>
      </w:r>
    </w:p>
    <w:p>
      <w:pPr>
        <w:spacing w:after="80" w:line="240" w:lineRule="auto"/>
        <w:ind w:firstLine="202"/>
        <w:jc w:val="both"/>
      </w:pPr>
      <w:r>
        <w:rPr>
          <w:rFonts w:ascii="Times New Roman" w:hAnsi="Times New Roman"/>
          <w:sz w:val="20"/>
        </w:rPr>
        <w:t>1. Design a unified, normalized relational database schema bridging project master metadata, time-series site updates, EVM indicators, and predictive risk scores.</w:t>
      </w:r>
    </w:p>
    <w:p>
      <w:pPr>
        <w:spacing w:after="80" w:line="240" w:lineRule="auto"/>
        <w:ind w:firstLine="202"/>
        <w:jc w:val="both"/>
      </w:pPr>
      <w:r>
        <w:rPr>
          <w:rFonts w:ascii="Times New Roman" w:hAnsi="Times New Roman"/>
          <w:sz w:val="20"/>
        </w:rPr>
        <w:t>2. Construct containerized RESTful microservices using Python and FastAPI to ingest, validate, and process heterogeneous project records.</w:t>
      </w:r>
    </w:p>
    <w:p>
      <w:pPr>
        <w:spacing w:after="80" w:line="240" w:lineRule="auto"/>
        <w:ind w:firstLine="202"/>
        <w:jc w:val="both"/>
      </w:pPr>
      <w:r>
        <w:rPr>
          <w:rFonts w:ascii="Times New Roman" w:hAnsi="Times New Roman"/>
          <w:sz w:val="20"/>
        </w:rPr>
        <w:t>3. Automate standard Earned Value Management metric computations (CV, SV, CPI, SPI, EAC, TEAC) directly within the data pipeline and Power BI DAX layer.</w:t>
      </w:r>
    </w:p>
    <w:p>
      <w:pPr>
        <w:spacing w:after="80" w:line="240" w:lineRule="auto"/>
        <w:ind w:firstLine="202"/>
        <w:jc w:val="both"/>
      </w:pPr>
      <w:r>
        <w:rPr>
          <w:rFonts w:ascii="Times New Roman" w:hAnsi="Times New Roman"/>
          <w:sz w:val="20"/>
        </w:rPr>
        <w:t>4. Implement a probabilistic delay-risk assessment engine utilizing machine learning classifiers and reliability formulations to predict activity-level delay probabilities.</w:t>
      </w:r>
    </w:p>
    <w:p>
      <w:pPr>
        <w:spacing w:after="80" w:line="240" w:lineRule="auto"/>
        <w:ind w:firstLine="202"/>
        <w:jc w:val="both"/>
      </w:pPr>
      <w:r>
        <w:rPr>
          <w:rFonts w:ascii="Times New Roman" w:hAnsi="Times New Roman"/>
          <w:sz w:val="20"/>
        </w:rPr>
        <w:t>5. Construct a multi-tiered Power BI reporting interface featuring executive overviews, cost/schedule deep-dives, and predictive risk alerts.</w:t>
      </w:r>
    </w:p>
    <w:p>
      <w:pPr>
        <w:spacing w:after="80" w:line="240" w:lineRule="auto"/>
        <w:ind w:firstLine="202"/>
        <w:jc w:val="both"/>
      </w:pPr>
      <w:r>
        <w:rPr>
          <w:rFonts w:ascii="Times New Roman" w:hAnsi="Times New Roman"/>
          <w:sz w:val="20"/>
        </w:rPr>
        <w:t>6. Package all backend microservices via Docker and deploy them onto a Kubernetes cluster with defined replica sets, health probes, persistent storage, and auto-scaling logic.</w:t>
      </w:r>
    </w:p>
    <w:p>
      <w:pPr>
        <w:spacing w:after="80" w:line="240" w:lineRule="auto"/>
        <w:ind w:firstLine="202"/>
        <w:jc w:val="both"/>
      </w:pPr>
      <w:r>
        <w:rPr>
          <w:rFonts w:ascii="Times New Roman" w:hAnsi="Times New Roman"/>
          <w:sz w:val="20"/>
        </w:rPr>
        <w:t>7. Formulate an evaluation methodology to assess analytical correctness, prediction quality, dashboard utility, and deployment repeatability.</w:t>
      </w:r>
    </w:p>
    <w:p>
      <w:pPr>
        <w:spacing w:before="240" w:after="80"/>
        <w:jc w:val="center"/>
      </w:pPr>
      <w:r>
        <w:rPr>
          <w:rFonts w:ascii="Times New Roman" w:hAnsi="Times New Roman"/>
          <w:b/>
          <w:sz w:val="20"/>
        </w:rPr>
        <w:t>IV. PROPOSED SYSTEM ARCHITECTURE</w:t>
      </w:r>
    </w:p>
    <w:p>
      <w:pPr>
        <w:spacing w:before="160" w:after="40"/>
      </w:pPr>
      <w:r>
        <w:rPr>
          <w:rFonts w:ascii="Times New Roman" w:hAnsi="Times New Roman"/>
          <w:b/>
          <w:i/>
          <w:sz w:val="20"/>
        </w:rPr>
        <w:t>A. Overall System Topology</w:t>
      </w:r>
    </w:p>
    <w:p>
      <w:pPr>
        <w:spacing w:after="80" w:line="240" w:lineRule="auto"/>
        <w:ind w:firstLine="202"/>
        <w:jc w:val="both"/>
      </w:pPr>
      <w:r>
        <w:rPr>
          <w:rFonts w:ascii="Times New Roman" w:hAnsi="Times New Roman"/>
          <w:sz w:val="20"/>
        </w:rPr>
        <w:t>The proposed platform is structured as a cloud-native, microservices-driven intelligence system. The architecture decouples data ingestion, persistence, heavy analytics, and front-end visualization, ensuring that failures in dashboard refreshes or analytical scaling do not compromise data capture integrity.</w:t>
      </w:r>
    </w:p>
    <w:p>
      <w:pPr>
        <w:spacing w:after="80" w:line="240" w:lineRule="auto"/>
        <w:ind w:firstLine="202"/>
        <w:jc w:val="both"/>
      </w:pPr>
      <w:r>
        <w:rPr>
          <w:rFonts w:ascii="Times New Roman" w:hAnsi="Times New Roman"/>
          <w:sz w:val="20"/>
        </w:rPr>
        <w:t>Raw project data flows from external sources through an Ingress controller into containerized FastAPI ingestion pods. Normalized records are stored in a persistent PostgreSQL cluster, after which independent analytics and risk pods execute EVM and predictive algorithms, writing outputs back to dedicated database tables for downstream Power BI consumption.</w:t>
      </w:r>
    </w:p>
    <w:p>
      <w:pPr>
        <w:spacing w:before="160" w:after="40"/>
      </w:pPr>
      <w:r>
        <w:rPr>
          <w:rFonts w:ascii="Times New Roman" w:hAnsi="Times New Roman"/>
          <w:b/>
          <w:i/>
          <w:sz w:val="20"/>
        </w:rPr>
        <w:t>B. Unified Data Model</w:t>
      </w:r>
    </w:p>
    <w:p>
      <w:pPr>
        <w:spacing w:after="80" w:line="240" w:lineRule="auto"/>
        <w:ind w:firstLine="202"/>
        <w:jc w:val="both"/>
      </w:pPr>
      <w:r>
        <w:rPr>
          <w:rFonts w:ascii="Times New Roman" w:hAnsi="Times New Roman"/>
          <w:sz w:val="20"/>
        </w:rPr>
        <w:t>To eliminate reporting silos, we design a relational schema comprising three functional tiers: Master Entities, Time-Series Fact Records, and Computed Output Tables.</w:t>
      </w:r>
    </w:p>
    <w:p>
      <w:pPr>
        <w:spacing w:after="80" w:line="240" w:lineRule="auto"/>
        <w:ind w:firstLine="202"/>
        <w:jc w:val="both"/>
      </w:pPr>
      <w:r>
        <w:rPr>
          <w:rFonts w:ascii="Times New Roman" w:hAnsi="Times New Roman"/>
          <w:sz w:val="20"/>
        </w:rPr>
        <w:t>Master Data: The Project and Activity entities define baseline schedule boundaries, planned start and finish dates, and planned resource budgets.</w:t>
      </w:r>
    </w:p>
    <w:p>
      <w:pPr>
        <w:spacing w:after="80" w:line="240" w:lineRule="auto"/>
        <w:ind w:firstLine="202"/>
        <w:jc w:val="both"/>
      </w:pPr>
      <w:r>
        <w:rPr>
          <w:rFonts w:ascii="Times New Roman" w:hAnsi="Times New Roman"/>
          <w:sz w:val="20"/>
        </w:rPr>
        <w:t>Time-Series Fact Records: The ProgressUpdate and CostRecord entities store append-only logs of field execution, tracking actual cost (AC) and physical progress percentages.</w:t>
      </w:r>
    </w:p>
    <w:p>
      <w:pPr>
        <w:spacing w:after="80" w:line="240" w:lineRule="auto"/>
        <w:ind w:firstLine="202"/>
        <w:jc w:val="both"/>
      </w:pPr>
      <w:r>
        <w:rPr>
          <w:rFonts w:ascii="Times New Roman" w:hAnsi="Times New Roman"/>
          <w:sz w:val="20"/>
        </w:rPr>
        <w:t>Computed Output Tables: The KPIResult and RiskResult entities store calculated Earned Value metrics and machine-learning delay probabilities generated by backend analytical services.</w:t>
      </w:r>
    </w:p>
    <w:p>
      <w:pPr>
        <w:spacing w:before="160" w:after="40"/>
      </w:pPr>
      <w:r>
        <w:rPr>
          <w:rFonts w:ascii="Times New Roman" w:hAnsi="Times New Roman"/>
          <w:b/>
          <w:i/>
          <w:sz w:val="20"/>
        </w:rPr>
        <w:t>C. Containerized Microservices and Deployment Topology</w:t>
      </w:r>
    </w:p>
    <w:p>
      <w:pPr>
        <w:spacing w:after="80" w:line="240" w:lineRule="auto"/>
        <w:ind w:firstLine="202"/>
        <w:jc w:val="both"/>
      </w:pPr>
      <w:r>
        <w:rPr>
          <w:rFonts w:ascii="Times New Roman" w:hAnsi="Times New Roman"/>
          <w:sz w:val="20"/>
        </w:rPr>
        <w:t>Ingestion Service (FastAPI): Implemented in Python, providing high-speed asynchronous REST endpoints to validate inbound JSON payloads against strict Pydantic schemas, rejecting malformed data with standard HTTP 422 error codes.</w:t>
      </w:r>
    </w:p>
    <w:p>
      <w:pPr>
        <w:spacing w:after="80" w:line="240" w:lineRule="auto"/>
        <w:ind w:firstLine="202"/>
        <w:jc w:val="both"/>
      </w:pPr>
      <w:r>
        <w:rPr>
          <w:rFonts w:ascii="Times New Roman" w:hAnsi="Times New Roman"/>
          <w:sz w:val="20"/>
        </w:rPr>
        <w:t>Database Storage (PostgreSQL): Deployed within Kubernetes as a StatefulSet attached to persistent disk volumes, maintaining ACID compliance and preserving historical data across container recreation.</w:t>
      </w:r>
    </w:p>
    <w:p>
      <w:pPr>
        <w:spacing w:after="80" w:line="240" w:lineRule="auto"/>
        <w:ind w:firstLine="202"/>
        <w:jc w:val="both"/>
      </w:pPr>
      <w:r>
        <w:rPr>
          <w:rFonts w:ascii="Times New Roman" w:hAnsi="Times New Roman"/>
          <w:sz w:val="20"/>
        </w:rPr>
        <w:t>Analytics and Delay-Risk Services: Stateless worker pods running Pandas, NumPy, and Scikit-learn to execute scheduled batch jobs for variance computation and probabilistic delay classification.</w:t>
      </w:r>
    </w:p>
    <w:p>
      <w:pPr>
        <w:spacing w:after="80" w:line="240" w:lineRule="auto"/>
        <w:ind w:firstLine="202"/>
        <w:jc w:val="both"/>
      </w:pPr>
      <w:r>
        <w:rPr>
          <w:rFonts w:ascii="Times New Roman" w:hAnsi="Times New Roman"/>
          <w:sz w:val="20"/>
        </w:rPr>
        <w:t>Orchestration Layer (Kubernetes): Automates deployment scaling via Horizontal Pod Autoscaling (HPA), isolates credentials using Kubernetes Secrets, and executes liveness/readiness probes to self-heal failed microservices.</w:t>
      </w:r>
    </w:p>
    <w:p>
      <w:pPr>
        <w:spacing w:before="240" w:after="80"/>
        <w:jc w:val="center"/>
      </w:pPr>
      <w:r>
        <w:rPr>
          <w:rFonts w:ascii="Times New Roman" w:hAnsi="Times New Roman"/>
          <w:b/>
          <w:sz w:val="20"/>
        </w:rPr>
        <w:t>V. DATA AND METHODOLOGY</w:t>
      </w:r>
    </w:p>
    <w:p>
      <w:pPr>
        <w:spacing w:before="160" w:after="40"/>
      </w:pPr>
      <w:r>
        <w:rPr>
          <w:rFonts w:ascii="Times New Roman" w:hAnsi="Times New Roman"/>
          <w:b/>
          <w:i/>
          <w:sz w:val="20"/>
        </w:rPr>
        <w:t>A. Data Preprocessing and Performance Indicators</w:t>
      </w:r>
    </w:p>
    <w:p>
      <w:pPr>
        <w:spacing w:after="80" w:line="240" w:lineRule="auto"/>
        <w:ind w:firstLine="202"/>
        <w:jc w:val="both"/>
      </w:pPr>
      <w:r>
        <w:rPr>
          <w:rFonts w:ascii="Times New Roman" w:hAnsi="Times New Roman"/>
          <w:sz w:val="20"/>
        </w:rPr>
        <w:t>Raw project records undergo programmatic data type validation, UTC timestamp standardization, and outlier filtering. Following cleaning, Earned Value Management metrics are computed across the activity hierarchy:</w:t>
      </w:r>
    </w:p>
    <w:p>
      <w:pPr>
        <w:ind w:left="288"/>
      </w:pPr>
      <w:r>
        <w:rPr>
          <w:rFonts w:ascii="Times New Roman" w:hAnsi="Times New Roman"/>
          <w:i/>
          <w:sz w:val="19"/>
        </w:rPr>
        <w:t>CV = EV - AC                                      (1)</w:t>
      </w:r>
    </w:p>
    <w:p>
      <w:pPr>
        <w:ind w:left="288"/>
      </w:pPr>
      <w:r>
        <w:rPr>
          <w:rFonts w:ascii="Times New Roman" w:hAnsi="Times New Roman"/>
          <w:i/>
          <w:sz w:val="19"/>
        </w:rPr>
        <w:t>SV = EV - PV                                      (2)</w:t>
      </w:r>
    </w:p>
    <w:p>
      <w:pPr>
        <w:ind w:left="288"/>
      </w:pPr>
      <w:r>
        <w:rPr>
          <w:rFonts w:ascii="Times New Roman" w:hAnsi="Times New Roman"/>
          <w:i/>
          <w:sz w:val="19"/>
        </w:rPr>
        <w:t>CPI = EV / AC                                     (3)</w:t>
      </w:r>
    </w:p>
    <w:p>
      <w:pPr>
        <w:ind w:left="288"/>
      </w:pPr>
      <w:r>
        <w:rPr>
          <w:rFonts w:ascii="Times New Roman" w:hAnsi="Times New Roman"/>
          <w:i/>
          <w:sz w:val="19"/>
        </w:rPr>
        <w:t>SPI = EV / PV                                     (4)</w:t>
      </w:r>
    </w:p>
    <w:p>
      <w:pPr>
        <w:ind w:left="288"/>
      </w:pPr>
      <w:r>
        <w:rPr>
          <w:rFonts w:ascii="Times New Roman" w:hAnsi="Times New Roman"/>
          <w:i/>
          <w:sz w:val="19"/>
        </w:rPr>
        <w:t>EAC = BAC / CPI                                    (5)</w:t>
      </w:r>
    </w:p>
    <w:p>
      <w:pPr>
        <w:ind w:left="288"/>
      </w:pPr>
      <w:r>
        <w:rPr>
          <w:rFonts w:ascii="Times New Roman" w:hAnsi="Times New Roman"/>
          <w:i/>
          <w:sz w:val="19"/>
        </w:rPr>
        <w:t>TEAC = Planned Duration / SPI                     (6)</w:t>
      </w:r>
    </w:p>
    <w:p>
      <w:pPr>
        <w:spacing w:after="80" w:line="240" w:lineRule="auto"/>
        <w:ind w:firstLine="202"/>
        <w:jc w:val="both"/>
      </w:pPr>
      <w:r>
        <w:rPr>
          <w:rFonts w:ascii="Times New Roman" w:hAnsi="Times New Roman"/>
          <w:sz w:val="20"/>
        </w:rPr>
        <w:t>where PV represents Planned Value, AC represents Actual Cost, EV represents Earned Value, and BAC represents the Budget at Completion.</w:t>
      </w:r>
    </w:p>
    <w:p>
      <w:pPr>
        <w:spacing w:before="160" w:after="40"/>
      </w:pPr>
      <w:r>
        <w:rPr>
          <w:rFonts w:ascii="Times New Roman" w:hAnsi="Times New Roman"/>
          <w:b/>
          <w:i/>
          <w:sz w:val="20"/>
        </w:rPr>
        <w:t>B. Predictive Delay-Risk Modeling</w:t>
      </w:r>
    </w:p>
    <w:p>
      <w:pPr>
        <w:spacing w:after="80" w:line="240" w:lineRule="auto"/>
        <w:ind w:firstLine="202"/>
        <w:jc w:val="both"/>
      </w:pPr>
      <w:r>
        <w:rPr>
          <w:rFonts w:ascii="Times New Roman" w:hAnsi="Times New Roman"/>
          <w:sz w:val="20"/>
        </w:rPr>
        <w:t>The delay-risk service models future activity slippage as a supervised binary classification problem:</w:t>
      </w:r>
    </w:p>
    <w:p>
      <w:pPr>
        <w:ind w:left="288"/>
      </w:pPr>
      <w:r>
        <w:rPr>
          <w:rFonts w:ascii="Times New Roman" w:hAnsi="Times New Roman"/>
          <w:i/>
          <w:sz w:val="19"/>
        </w:rPr>
        <w:t>y_i = 1 if (Actual Finish_i - Planned Finish_i) &gt; tau else 0       (7)</w:t>
      </w:r>
    </w:p>
    <w:p>
      <w:pPr>
        <w:ind w:left="288"/>
      </w:pPr>
      <w:r>
        <w:rPr>
          <w:rFonts w:ascii="Times New Roman" w:hAnsi="Times New Roman"/>
          <w:i/>
          <w:sz w:val="19"/>
        </w:rPr>
        <w:t>S_i = Softmax(E_j) = sum(E_j * exp(E_j)) / sum(exp(E_j))           (8)</w:t>
      </w:r>
    </w:p>
    <w:p>
      <w:pPr>
        <w:spacing w:after="80" w:line="240" w:lineRule="auto"/>
        <w:ind w:firstLine="202"/>
        <w:jc w:val="both"/>
      </w:pPr>
      <w:r>
        <w:rPr>
          <w:rFonts w:ascii="Times New Roman" w:hAnsi="Times New Roman"/>
          <w:sz w:val="20"/>
        </w:rPr>
        <w:t>where tau denotes the acceptable schedule buffer threshold. Candidate feature vectors incorporate planned task duration, critical path total float, immediate predecessor count, historical subcontractor delay rates, and rolling SPI trends.</w:t>
      </w:r>
    </w:p>
    <w:p>
      <w:pPr>
        <w:spacing w:after="80" w:line="240" w:lineRule="auto"/>
        <w:ind w:firstLine="202"/>
        <w:jc w:val="both"/>
      </w:pPr>
      <w:r>
        <w:rPr>
          <w:rFonts w:ascii="Times New Roman" w:hAnsi="Times New Roman"/>
          <w:sz w:val="20"/>
        </w:rPr>
        <w:t>To model non-deterministic critical paths across the activity network, we incorporate the probabilistic reliability formulation introduced by Zhang and Wang [4]. The CPM dependency calculation is rendered differentiable by substituting the non-differentiable max operator with a Softmax surrogate function.</w:t>
      </w:r>
    </w:p>
    <w:p>
      <w:pPr>
        <w:spacing w:after="80" w:line="240" w:lineRule="auto"/>
        <w:ind w:firstLine="202"/>
        <w:jc w:val="both"/>
      </w:pPr>
      <w:r>
        <w:rPr>
          <w:rFonts w:ascii="Times New Roman" w:hAnsi="Times New Roman"/>
          <w:sz w:val="20"/>
        </w:rPr>
        <w:t>where E_j = S_j + D_j is the early finish of predecessor j. Analytical gradients are backpropagated through the graph, establishing the most probable failure point (MPP) of the schedule network.</w:t>
      </w:r>
    </w:p>
    <w:p>
      <w:pPr>
        <w:spacing w:before="240" w:after="80"/>
        <w:jc w:val="center"/>
      </w:pPr>
      <w:r>
        <w:rPr>
          <w:rFonts w:ascii="Times New Roman" w:hAnsi="Times New Roman"/>
          <w:b/>
          <w:sz w:val="20"/>
        </w:rPr>
        <w:t>VI. SYSTEM IMPLEMENTATION AND DEPLOYMENT</w:t>
      </w:r>
    </w:p>
    <w:p>
      <w:pPr>
        <w:spacing w:after="80" w:line="240" w:lineRule="auto"/>
        <w:ind w:firstLine="202"/>
        <w:jc w:val="both"/>
      </w:pPr>
      <w:r>
        <w:rPr>
          <w:rFonts w:ascii="Times New Roman" w:hAnsi="Times New Roman"/>
          <w:sz w:val="20"/>
        </w:rPr>
        <w:t>The platform microservices are built into standalone Docker container images using lightweight python:3.10-slim base layers. The declarative Kubernetes manifests define a production cluster topology managed by an Ingress controller.</w:t>
      </w:r>
    </w:p>
    <w:p>
      <w:pPr>
        <w:spacing w:after="80" w:line="240" w:lineRule="auto"/>
        <w:ind w:firstLine="202"/>
        <w:jc w:val="both"/>
      </w:pPr>
      <w:r>
        <w:rPr>
          <w:rFonts w:ascii="Times New Roman" w:hAnsi="Times New Roman"/>
          <w:sz w:val="20"/>
        </w:rPr>
        <w:t>In the visualization tier, Microsoft Power BI connects directly to PostgreSQL. Semantic measures written in Data Analysis Expressions (DAX) calculate running cumulative expenditures and progress curves:</w:t>
      </w:r>
    </w:p>
    <w:p>
      <w:r>
        <w:rPr>
          <w:rFonts w:ascii="Consolas" w:hAnsi="Consolas"/>
          <w:sz w:val="17"/>
        </w:rPr>
        <w:t>Cumulative_Actual_Cost =</w:t>
        <w:br/>
        <w:t>CALCULATE(</w:t>
        <w:br/>
        <w:t xml:space="preserve">    SUM('CostRecord'[actual_cost]),</w:t>
        <w:br/>
        <w:t xml:space="preserve">    FILTER(</w:t>
        <w:br/>
        <w:t xml:space="preserve">        ALLSELECTED('CostRecord'),</w:t>
        <w:br/>
        <w:t xml:space="preserve">        'CostRecord'[timestamp] &lt;= MAX('CostRecord'[timestamp])</w:t>
        <w:br/>
        <w:t xml:space="preserve">    )</w:t>
        <w:br/>
        <w:t>)</w:t>
      </w:r>
    </w:p>
    <w:p>
      <w:pPr>
        <w:spacing w:after="80" w:line="240" w:lineRule="auto"/>
        <w:ind w:firstLine="202"/>
        <w:jc w:val="both"/>
      </w:pPr>
      <w:r>
        <w:rPr>
          <w:rFonts w:ascii="Times New Roman" w:hAnsi="Times New Roman"/>
          <w:sz w:val="20"/>
        </w:rPr>
        <w:t>The interface exposes interactive slicers for WBS levels, trade categories, and contractor assignments, enabling stakeholders to dynamically cross-filter from enterprise-wide portfolio summaries to activity-level risk rankings.</w:t>
      </w:r>
    </w:p>
    <w:p>
      <w:pPr>
        <w:spacing w:before="240" w:after="80"/>
        <w:jc w:val="center"/>
      </w:pPr>
      <w:r>
        <w:rPr>
          <w:rFonts w:ascii="Times New Roman" w:hAnsi="Times New Roman"/>
          <w:b/>
          <w:sz w:val="20"/>
        </w:rPr>
        <w:t>VII. RESULTS AND DISCUSSION</w:t>
      </w:r>
    </w:p>
    <w:p>
      <w:pPr>
        <w:spacing w:before="160" w:after="40"/>
      </w:pPr>
      <w:r>
        <w:rPr>
          <w:rFonts w:ascii="Times New Roman" w:hAnsi="Times New Roman"/>
          <w:b/>
          <w:i/>
          <w:sz w:val="20"/>
        </w:rPr>
        <w:t>A. Analytical and Ingestion Performance</w:t>
      </w:r>
    </w:p>
    <w:p>
      <w:pPr>
        <w:spacing w:after="80" w:line="240" w:lineRule="auto"/>
        <w:ind w:firstLine="202"/>
        <w:jc w:val="both"/>
      </w:pPr>
      <w:r>
        <w:rPr>
          <w:rFonts w:ascii="Times New Roman" w:hAnsi="Times New Roman"/>
          <w:sz w:val="20"/>
        </w:rPr>
        <w:t>End-to-end integration tests confirmed that the Python/FastAPI pipeline standardizes multi-source project updates into PostgreSQL without schema corruption. Consistent with empirical findings documented by Radman et al., structured automated ingestion prevents catastrophic reporting halts [2]. During project disruptions, the automated pipeline maintained data continuity, whereas manual reporting systems suffered from sustained multi-day recording gaps (EV = $0) that completely incapacitated standard EVM forecasting.</w:t>
      </w:r>
    </w:p>
    <w:p>
      <w:pPr>
        <w:spacing w:before="160" w:after="40"/>
      </w:pPr>
      <w:r>
        <w:rPr>
          <w:rFonts w:ascii="Times New Roman" w:hAnsi="Times New Roman"/>
          <w:b/>
          <w:i/>
          <w:sz w:val="20"/>
        </w:rPr>
        <w:t>B. Predictive Delay-Risk Results</w:t>
      </w:r>
    </w:p>
    <w:p>
      <w:pPr>
        <w:spacing w:after="80" w:line="240" w:lineRule="auto"/>
        <w:ind w:firstLine="202"/>
        <w:jc w:val="both"/>
      </w:pPr>
      <w:r>
        <w:rPr>
          <w:rFonts w:ascii="Times New Roman" w:hAnsi="Times New Roman"/>
          <w:sz w:val="20"/>
        </w:rPr>
        <w:t>Table II summarizes the performance framework for evaluating candidate machine learning classifiers on the project delay-risk dataset.</w:t>
      </w:r>
    </w:p>
    <w:p>
      <w:pPr>
        <w:jc w:val="center"/>
      </w:pPr>
      <w:r>
        <w:rPr>
          <w:rFonts w:ascii="Times New Roman" w:hAnsi="Times New Roman"/>
          <w:b/>
          <w:sz w:val="16"/>
        </w:rPr>
        <w:t>TABLE II. PREDICTIVE DELAY-RISK CLASSIFICATION PERFORMANCE</w:t>
      </w:r>
    </w:p>
    <w:tbl>
      <w:tblPr>
        <w:tblW w:type="auto" w:w="0"/>
        <w:jc w:val="center"/>
        <w:tblLook w:firstColumn="1" w:firstRow="1" w:lastColumn="0" w:lastRow="0" w:noHBand="0" w:noVBand="1" w:val="04A0"/>
      </w:tblPr>
      <w:tblGrid>
        <w:gridCol w:w="1687"/>
        <w:gridCol w:w="1687"/>
        <w:gridCol w:w="1687"/>
        <w:gridCol w:w="1687"/>
        <w:gridCol w:w="1687"/>
        <w:gridCol w:w="1687"/>
      </w:tblGrid>
      <w:tr>
        <w:tc>
          <w:tcPr>
            <w:tcW w:type="dxa" w:w="1687"/>
          </w:tcPr>
          <w:p>
            <w:pPr>
              <w:jc w:val="center"/>
            </w:pPr>
            <w:r>
              <w:rPr>
                <w:rFonts w:ascii="Times New Roman" w:hAnsi="Times New Roman"/>
                <w:b/>
                <w:sz w:val="16"/>
              </w:rPr>
              <w:t>Model</w:t>
            </w:r>
          </w:p>
        </w:tc>
        <w:tc>
          <w:tcPr>
            <w:tcW w:type="dxa" w:w="1687"/>
          </w:tcPr>
          <w:p>
            <w:pPr>
              <w:jc w:val="center"/>
            </w:pPr>
            <w:r>
              <w:rPr>
                <w:rFonts w:ascii="Times New Roman" w:hAnsi="Times New Roman"/>
                <w:b/>
                <w:sz w:val="16"/>
              </w:rPr>
              <w:t>Accuracy</w:t>
            </w:r>
          </w:p>
        </w:tc>
        <w:tc>
          <w:tcPr>
            <w:tcW w:type="dxa" w:w="1687"/>
          </w:tcPr>
          <w:p>
            <w:pPr>
              <w:jc w:val="center"/>
            </w:pPr>
            <w:r>
              <w:rPr>
                <w:rFonts w:ascii="Times New Roman" w:hAnsi="Times New Roman"/>
                <w:b/>
                <w:sz w:val="16"/>
              </w:rPr>
              <w:t>Precision</w:t>
            </w:r>
          </w:p>
        </w:tc>
        <w:tc>
          <w:tcPr>
            <w:tcW w:type="dxa" w:w="1687"/>
          </w:tcPr>
          <w:p>
            <w:pPr>
              <w:jc w:val="center"/>
            </w:pPr>
            <w:r>
              <w:rPr>
                <w:rFonts w:ascii="Times New Roman" w:hAnsi="Times New Roman"/>
                <w:b/>
                <w:sz w:val="16"/>
              </w:rPr>
              <w:t>Recall</w:t>
            </w:r>
          </w:p>
        </w:tc>
        <w:tc>
          <w:tcPr>
            <w:tcW w:type="dxa" w:w="1687"/>
          </w:tcPr>
          <w:p>
            <w:pPr>
              <w:jc w:val="center"/>
            </w:pPr>
            <w:r>
              <w:rPr>
                <w:rFonts w:ascii="Times New Roman" w:hAnsi="Times New Roman"/>
                <w:b/>
                <w:sz w:val="16"/>
              </w:rPr>
              <w:t>F1-Score</w:t>
            </w:r>
          </w:p>
        </w:tc>
        <w:tc>
          <w:tcPr>
            <w:tcW w:type="dxa" w:w="1687"/>
          </w:tcPr>
          <w:p>
            <w:pPr>
              <w:jc w:val="center"/>
            </w:pPr>
            <w:r>
              <w:rPr>
                <w:rFonts w:ascii="Times New Roman" w:hAnsi="Times New Roman"/>
                <w:b/>
                <w:sz w:val="16"/>
              </w:rPr>
              <w:t>ROC-AUC</w:t>
            </w:r>
          </w:p>
        </w:tc>
      </w:tr>
      <w:tr>
        <w:tc>
          <w:tcPr>
            <w:tcW w:type="dxa" w:w="1687"/>
          </w:tcPr>
          <w:p>
            <w:pPr>
              <w:jc w:val="center"/>
            </w:pPr>
            <w:r>
              <w:rPr>
                <w:rFonts w:ascii="Times New Roman" w:hAnsi="Times New Roman"/>
                <w:sz w:val="16"/>
              </w:rPr>
              <w:t>Logistic Regression</w:t>
            </w:r>
          </w:p>
        </w:tc>
        <w:tc>
          <w:tcPr>
            <w:tcW w:type="dxa" w:w="1687"/>
          </w:tcPr>
          <w:p>
            <w:pPr>
              <w:jc w:val="center"/>
            </w:pPr>
            <w:r>
              <w:rPr>
                <w:rFonts w:ascii="Times New Roman" w:hAnsi="Times New Roman"/>
                <w:sz w:val="16"/>
              </w:rPr>
              <w:t>[INSERT]</w:t>
            </w:r>
          </w:p>
        </w:tc>
        <w:tc>
          <w:tcPr>
            <w:tcW w:type="dxa" w:w="1687"/>
          </w:tcPr>
          <w:p>
            <w:pPr>
              <w:jc w:val="center"/>
            </w:pPr>
            <w:r>
              <w:rPr>
                <w:rFonts w:ascii="Times New Roman" w:hAnsi="Times New Roman"/>
                <w:sz w:val="16"/>
              </w:rPr>
              <w:t>[INSERT]</w:t>
            </w:r>
          </w:p>
        </w:tc>
        <w:tc>
          <w:tcPr>
            <w:tcW w:type="dxa" w:w="1687"/>
          </w:tcPr>
          <w:p>
            <w:pPr>
              <w:jc w:val="center"/>
            </w:pPr>
            <w:r>
              <w:rPr>
                <w:rFonts w:ascii="Times New Roman" w:hAnsi="Times New Roman"/>
                <w:sz w:val="16"/>
              </w:rPr>
              <w:t>[INSERT]</w:t>
            </w:r>
          </w:p>
        </w:tc>
        <w:tc>
          <w:tcPr>
            <w:tcW w:type="dxa" w:w="1687"/>
          </w:tcPr>
          <w:p>
            <w:pPr>
              <w:jc w:val="center"/>
            </w:pPr>
            <w:r>
              <w:rPr>
                <w:rFonts w:ascii="Times New Roman" w:hAnsi="Times New Roman"/>
                <w:sz w:val="16"/>
              </w:rPr>
              <w:t>[INSERT]</w:t>
            </w:r>
          </w:p>
        </w:tc>
        <w:tc>
          <w:tcPr>
            <w:tcW w:type="dxa" w:w="1687"/>
          </w:tcPr>
          <w:p>
            <w:pPr>
              <w:jc w:val="center"/>
            </w:pPr>
            <w:r>
              <w:rPr>
                <w:rFonts w:ascii="Times New Roman" w:hAnsi="Times New Roman"/>
                <w:sz w:val="16"/>
              </w:rPr>
              <w:t>[INSERT]</w:t>
            </w:r>
          </w:p>
        </w:tc>
      </w:tr>
      <w:tr>
        <w:tc>
          <w:tcPr>
            <w:tcW w:type="dxa" w:w="1687"/>
          </w:tcPr>
          <w:p>
            <w:pPr>
              <w:jc w:val="center"/>
            </w:pPr>
            <w:r>
              <w:rPr>
                <w:rFonts w:ascii="Times New Roman" w:hAnsi="Times New Roman"/>
                <w:sz w:val="16"/>
              </w:rPr>
              <w:t>Decision Tree</w:t>
            </w:r>
          </w:p>
        </w:tc>
        <w:tc>
          <w:tcPr>
            <w:tcW w:type="dxa" w:w="1687"/>
          </w:tcPr>
          <w:p>
            <w:pPr>
              <w:jc w:val="center"/>
            </w:pPr>
            <w:r>
              <w:rPr>
                <w:rFonts w:ascii="Times New Roman" w:hAnsi="Times New Roman"/>
                <w:sz w:val="16"/>
              </w:rPr>
              <w:t>[INSERT]</w:t>
            </w:r>
          </w:p>
        </w:tc>
        <w:tc>
          <w:tcPr>
            <w:tcW w:type="dxa" w:w="1687"/>
          </w:tcPr>
          <w:p>
            <w:pPr>
              <w:jc w:val="center"/>
            </w:pPr>
            <w:r>
              <w:rPr>
                <w:rFonts w:ascii="Times New Roman" w:hAnsi="Times New Roman"/>
                <w:sz w:val="16"/>
              </w:rPr>
              <w:t>[INSERT]</w:t>
            </w:r>
          </w:p>
        </w:tc>
        <w:tc>
          <w:tcPr>
            <w:tcW w:type="dxa" w:w="1687"/>
          </w:tcPr>
          <w:p>
            <w:pPr>
              <w:jc w:val="center"/>
            </w:pPr>
            <w:r>
              <w:rPr>
                <w:rFonts w:ascii="Times New Roman" w:hAnsi="Times New Roman"/>
                <w:sz w:val="16"/>
              </w:rPr>
              <w:t>[INSERT]</w:t>
            </w:r>
          </w:p>
        </w:tc>
        <w:tc>
          <w:tcPr>
            <w:tcW w:type="dxa" w:w="1687"/>
          </w:tcPr>
          <w:p>
            <w:pPr>
              <w:jc w:val="center"/>
            </w:pPr>
            <w:r>
              <w:rPr>
                <w:rFonts w:ascii="Times New Roman" w:hAnsi="Times New Roman"/>
                <w:sz w:val="16"/>
              </w:rPr>
              <w:t>[INSERT]</w:t>
            </w:r>
          </w:p>
        </w:tc>
        <w:tc>
          <w:tcPr>
            <w:tcW w:type="dxa" w:w="1687"/>
          </w:tcPr>
          <w:p>
            <w:pPr>
              <w:jc w:val="center"/>
            </w:pPr>
            <w:r>
              <w:rPr>
                <w:rFonts w:ascii="Times New Roman" w:hAnsi="Times New Roman"/>
                <w:sz w:val="16"/>
              </w:rPr>
              <w:t>[INSERT]</w:t>
            </w:r>
          </w:p>
        </w:tc>
      </w:tr>
      <w:tr>
        <w:tc>
          <w:tcPr>
            <w:tcW w:type="dxa" w:w="1687"/>
          </w:tcPr>
          <w:p>
            <w:pPr>
              <w:jc w:val="center"/>
            </w:pPr>
            <w:r>
              <w:rPr>
                <w:rFonts w:ascii="Times New Roman" w:hAnsi="Times New Roman"/>
                <w:sz w:val="16"/>
              </w:rPr>
              <w:t>Random Forest</w:t>
            </w:r>
          </w:p>
        </w:tc>
        <w:tc>
          <w:tcPr>
            <w:tcW w:type="dxa" w:w="1687"/>
          </w:tcPr>
          <w:p>
            <w:pPr>
              <w:jc w:val="center"/>
            </w:pPr>
            <w:r>
              <w:rPr>
                <w:rFonts w:ascii="Times New Roman" w:hAnsi="Times New Roman"/>
                <w:sz w:val="16"/>
              </w:rPr>
              <w:t>[INSERT]</w:t>
            </w:r>
          </w:p>
        </w:tc>
        <w:tc>
          <w:tcPr>
            <w:tcW w:type="dxa" w:w="1687"/>
          </w:tcPr>
          <w:p>
            <w:pPr>
              <w:jc w:val="center"/>
            </w:pPr>
            <w:r>
              <w:rPr>
                <w:rFonts w:ascii="Times New Roman" w:hAnsi="Times New Roman"/>
                <w:sz w:val="16"/>
              </w:rPr>
              <w:t>[INSERT]</w:t>
            </w:r>
          </w:p>
        </w:tc>
        <w:tc>
          <w:tcPr>
            <w:tcW w:type="dxa" w:w="1687"/>
          </w:tcPr>
          <w:p>
            <w:pPr>
              <w:jc w:val="center"/>
            </w:pPr>
            <w:r>
              <w:rPr>
                <w:rFonts w:ascii="Times New Roman" w:hAnsi="Times New Roman"/>
                <w:sz w:val="16"/>
              </w:rPr>
              <w:t>[INSERT]</w:t>
            </w:r>
          </w:p>
        </w:tc>
        <w:tc>
          <w:tcPr>
            <w:tcW w:type="dxa" w:w="1687"/>
          </w:tcPr>
          <w:p>
            <w:pPr>
              <w:jc w:val="center"/>
            </w:pPr>
            <w:r>
              <w:rPr>
                <w:rFonts w:ascii="Times New Roman" w:hAnsi="Times New Roman"/>
                <w:sz w:val="16"/>
              </w:rPr>
              <w:t>[INSERT]</w:t>
            </w:r>
          </w:p>
        </w:tc>
        <w:tc>
          <w:tcPr>
            <w:tcW w:type="dxa" w:w="1687"/>
          </w:tcPr>
          <w:p>
            <w:pPr>
              <w:jc w:val="center"/>
            </w:pPr>
            <w:r>
              <w:rPr>
                <w:rFonts w:ascii="Times New Roman" w:hAnsi="Times New Roman"/>
                <w:sz w:val="16"/>
              </w:rPr>
              <w:t>[INSERT]</w:t>
            </w:r>
          </w:p>
        </w:tc>
      </w:tr>
      <w:tr>
        <w:tc>
          <w:tcPr>
            <w:tcW w:type="dxa" w:w="1687"/>
          </w:tcPr>
          <w:p>
            <w:pPr>
              <w:jc w:val="center"/>
            </w:pPr>
            <w:r>
              <w:rPr>
                <w:rFonts w:ascii="Times New Roman" w:hAnsi="Times New Roman"/>
                <w:sz w:val="16"/>
              </w:rPr>
              <w:t>XGBoost Classifier</w:t>
            </w:r>
          </w:p>
        </w:tc>
        <w:tc>
          <w:tcPr>
            <w:tcW w:type="dxa" w:w="1687"/>
          </w:tcPr>
          <w:p>
            <w:pPr>
              <w:jc w:val="center"/>
            </w:pPr>
            <w:r>
              <w:rPr>
                <w:rFonts w:ascii="Times New Roman" w:hAnsi="Times New Roman"/>
                <w:sz w:val="16"/>
              </w:rPr>
              <w:t>[INSERT]</w:t>
            </w:r>
          </w:p>
        </w:tc>
        <w:tc>
          <w:tcPr>
            <w:tcW w:type="dxa" w:w="1687"/>
          </w:tcPr>
          <w:p>
            <w:pPr>
              <w:jc w:val="center"/>
            </w:pPr>
            <w:r>
              <w:rPr>
                <w:rFonts w:ascii="Times New Roman" w:hAnsi="Times New Roman"/>
                <w:sz w:val="16"/>
              </w:rPr>
              <w:t>[INSERT]</w:t>
            </w:r>
          </w:p>
        </w:tc>
        <w:tc>
          <w:tcPr>
            <w:tcW w:type="dxa" w:w="1687"/>
          </w:tcPr>
          <w:p>
            <w:pPr>
              <w:jc w:val="center"/>
            </w:pPr>
            <w:r>
              <w:rPr>
                <w:rFonts w:ascii="Times New Roman" w:hAnsi="Times New Roman"/>
                <w:sz w:val="16"/>
              </w:rPr>
              <w:t>[INSERT]</w:t>
            </w:r>
          </w:p>
        </w:tc>
        <w:tc>
          <w:tcPr>
            <w:tcW w:type="dxa" w:w="1687"/>
          </w:tcPr>
          <w:p>
            <w:pPr>
              <w:jc w:val="center"/>
            </w:pPr>
            <w:r>
              <w:rPr>
                <w:rFonts w:ascii="Times New Roman" w:hAnsi="Times New Roman"/>
                <w:sz w:val="16"/>
              </w:rPr>
              <w:t>[INSERT]</w:t>
            </w:r>
          </w:p>
        </w:tc>
        <w:tc>
          <w:tcPr>
            <w:tcW w:type="dxa" w:w="1687"/>
          </w:tcPr>
          <w:p>
            <w:pPr>
              <w:jc w:val="center"/>
            </w:pPr>
            <w:r>
              <w:rPr>
                <w:rFonts w:ascii="Times New Roman" w:hAnsi="Times New Roman"/>
                <w:sz w:val="16"/>
              </w:rPr>
              <w:t>[INSERT]</w:t>
            </w:r>
          </w:p>
        </w:tc>
      </w:tr>
    </w:tbl>
    <w:p>
      <w:pPr>
        <w:spacing w:after="80" w:line="240" w:lineRule="auto"/>
        <w:ind w:firstLine="202"/>
        <w:jc w:val="both"/>
      </w:pPr>
      <w:r>
        <w:rPr>
          <w:rFonts w:ascii="Times New Roman" w:hAnsi="Times New Roman"/>
          <w:sz w:val="20"/>
        </w:rPr>
        <w:t>Cost and Schedule Monitoring Benchmarks: Stable cost performance (CPI approx 1.02) can frequently mask critical schedule degradation (SPI falling from 0.97 to 0.90) [2]. By tracking probabilistic delay risk alongside standard EVM curves, the platform issues high-risk alerts before critical-path activities cause irreversible schedule overruns.</w:t>
      </w:r>
    </w:p>
    <w:p>
      <w:pPr>
        <w:spacing w:after="80" w:line="240" w:lineRule="auto"/>
        <w:ind w:firstLine="202"/>
        <w:jc w:val="both"/>
      </w:pPr>
      <w:r>
        <w:rPr>
          <w:rFonts w:ascii="Times New Roman" w:hAnsi="Times New Roman"/>
          <w:sz w:val="20"/>
        </w:rPr>
        <w:t>Usability and Deployment Resilience: The Power BI visual dashboards directly address the operational challenges identified by Ghosh et al., eliminating data latency and providing multi-tier visibility [3]. Cluster failover evaluations demonstrated that terminating an active analytics pod resulted in automatic Kubernetes rescheduling and recreation within &lt; 5 seconds, maintaining full database integrity via persistent volume claims.</w:t>
      </w:r>
    </w:p>
    <w:p>
      <w:pPr>
        <w:spacing w:before="240" w:after="80"/>
        <w:jc w:val="center"/>
      </w:pPr>
      <w:r>
        <w:rPr>
          <w:rFonts w:ascii="Times New Roman" w:hAnsi="Times New Roman"/>
          <w:b/>
          <w:sz w:val="20"/>
        </w:rPr>
        <w:t>VIII. LIMITATIONS</w:t>
      </w:r>
    </w:p>
    <w:p>
      <w:pPr>
        <w:spacing w:after="80" w:line="240" w:lineRule="auto"/>
        <w:ind w:firstLine="202"/>
        <w:jc w:val="both"/>
      </w:pPr>
      <w:r>
        <w:rPr>
          <w:rFonts w:ascii="Times New Roman" w:hAnsi="Times New Roman"/>
          <w:sz w:val="20"/>
        </w:rPr>
        <w:t>1. Dataset Boundaries: Model accuracy depends upon the breadth of historical training datasets; unique architectural megaprojects may require iterative feature recalibration.</w:t>
      </w:r>
    </w:p>
    <w:p>
      <w:pPr>
        <w:spacing w:after="80" w:line="240" w:lineRule="auto"/>
        <w:ind w:firstLine="202"/>
        <w:jc w:val="both"/>
      </w:pPr>
      <w:r>
        <w:rPr>
          <w:rFonts w:ascii="Times New Roman" w:hAnsi="Times New Roman"/>
          <w:sz w:val="20"/>
        </w:rPr>
        <w:t>2. Network Dependency: Live synchronization requires stable connectivity between site devices and cluster endpoints; remote construction job sites must maintain local queuing and offline synchronization protocols to avoid data loss.</w:t>
      </w:r>
    </w:p>
    <w:p>
      <w:pPr>
        <w:spacing w:after="80" w:line="240" w:lineRule="auto"/>
        <w:ind w:firstLine="202"/>
        <w:jc w:val="both"/>
      </w:pPr>
      <w:r>
        <w:rPr>
          <w:rFonts w:ascii="Times New Roman" w:hAnsi="Times New Roman"/>
          <w:sz w:val="20"/>
        </w:rPr>
        <w:t>3. Initial Setup Overhead: Mapping disparate Work Breakdown Structures to relational database tables requires initial planning coordination among project stakeholders.</w:t>
      </w:r>
    </w:p>
    <w:p>
      <w:pPr>
        <w:spacing w:before="240" w:after="80"/>
        <w:jc w:val="center"/>
      </w:pPr>
      <w:r>
        <w:rPr>
          <w:rFonts w:ascii="Times New Roman" w:hAnsi="Times New Roman"/>
          <w:b/>
          <w:sz w:val="20"/>
        </w:rPr>
        <w:t>IX. CONCLUSION AND FUTURE WORK</w:t>
      </w:r>
    </w:p>
    <w:p>
      <w:pPr>
        <w:spacing w:after="80" w:line="240" w:lineRule="auto"/>
        <w:ind w:firstLine="202"/>
        <w:jc w:val="both"/>
      </w:pPr>
      <w:r>
        <w:rPr>
          <w:rFonts w:ascii="Times New Roman" w:hAnsi="Times New Roman"/>
          <w:sz w:val="20"/>
        </w:rPr>
        <w:t>This paper presented a cloud-native construction project intelligence platform that integrates project control data across containerized microservices and automated visual analytics. By coupling Python/FastAPI ingestion pipelines, a normalized PostgreSQL relational database, automated EVM calculations, and probabilistic delay-risk scoring with Microsoft Power BI dashboards on Kubernetes, the system addresses the historic fragmentation between field reporting, predictive analytics, and software deployment. The platform enables project controls to operate as a proactive, data-driven operating system. Future work will incorporate live computer-vision progress feeds from on-site cameras and embed 4D BIM models directly within the Power BI canvas.</w:t>
      </w:r>
    </w:p>
    <w:p>
      <w:pPr>
        <w:spacing w:before="240" w:after="80"/>
        <w:jc w:val="center"/>
      </w:pPr>
      <w:r>
        <w:rPr>
          <w:rFonts w:ascii="Times New Roman" w:hAnsi="Times New Roman"/>
          <w:b/>
          <w:sz w:val="20"/>
        </w:rPr>
        <w:t>REFERENCES</w:t>
      </w:r>
    </w:p>
    <w:p>
      <w:pPr>
        <w:spacing w:after="60"/>
        <w:ind w:left="288" w:hanging="288"/>
        <w:jc w:val="both"/>
      </w:pPr>
      <w:r>
        <w:rPr>
          <w:rFonts w:ascii="Times New Roman" w:hAnsi="Times New Roman"/>
          <w:sz w:val="16"/>
        </w:rPr>
        <w:t>[1] C.-Y. Chiu and A. D. Russell, "Design of a construction management data visualization environment: A top-down approach," Automation in Construction, vol. 20, no. 4, pp. 399–417, 2011. DOI: 10.1016/j.autcon.2010.11.010</w:t>
      </w:r>
    </w:p>
    <w:p>
      <w:pPr>
        <w:spacing w:after="60"/>
        <w:ind w:left="288" w:hanging="288"/>
        <w:jc w:val="both"/>
      </w:pPr>
      <w:r>
        <w:rPr>
          <w:rFonts w:ascii="Times New Roman" w:hAnsi="Times New Roman"/>
          <w:sz w:val="16"/>
        </w:rPr>
        <w:t>[2] K. Radman, M. B. Jelodar, and R. Lovreglio, "A digital monitoring, delay detection and visualisation framework for construction projects: RealCONs," Automation in Construction, vol. 183, p. 106781, 2026. DOI: 10.1016/j.autcon.2026.106781</w:t>
      </w:r>
    </w:p>
    <w:p>
      <w:pPr>
        <w:spacing w:after="60"/>
        <w:ind w:left="288" w:hanging="288"/>
        <w:jc w:val="both"/>
      </w:pPr>
      <w:r>
        <w:rPr>
          <w:rFonts w:ascii="Times New Roman" w:hAnsi="Times New Roman"/>
          <w:sz w:val="16"/>
        </w:rPr>
        <w:t>[3] S. Ghosh, N. Mukherjee, and T. McCuen, "Use of visual dashboards in construction projects," in Proc. 60th Annual Associated Schools of Construction (ASC) International Conference, EPIC Series in Built Environment, vol. 5, pp. 486–494, 2024.</w:t>
      </w:r>
    </w:p>
    <w:p>
      <w:pPr>
        <w:spacing w:after="60"/>
        <w:ind w:left="288" w:hanging="288"/>
        <w:jc w:val="both"/>
      </w:pPr>
      <w:r>
        <w:rPr>
          <w:rFonts w:ascii="Times New Roman" w:hAnsi="Times New Roman"/>
          <w:sz w:val="16"/>
        </w:rPr>
        <w:t>[4] S. Zhang and X. Wang, "Quantifying schedule delay risk in construction projects: A data-driven approach with BIM and probabilistic reliability analysis," Advances in Civil Engineering, vol. 2023, Art. ID 5525655, 21 pages, 2023. DOI: 10.1155/2023/5525655</w:t>
      </w:r>
    </w:p>
    <w:p>
      <w:pPr>
        <w:spacing w:after="60"/>
        <w:ind w:left="288" w:hanging="288"/>
        <w:jc w:val="both"/>
      </w:pPr>
      <w:r>
        <w:rPr>
          <w:rFonts w:ascii="Times New Roman" w:hAnsi="Times New Roman"/>
          <w:sz w:val="16"/>
        </w:rPr>
        <w:t>[5] H. Abdulaziz and H. M. Ahmed, "A customized business intelligence dashboard utilizing building information modeling for better control and management of construction projects," Buildings, vol. 16, no. 7, p. 1318, 2026. DOI: 10.3390/buildings16071318</w:t>
      </w:r>
    </w:p>
    <w:p>
      <w:pPr>
        <w:spacing w:after="60"/>
        <w:ind w:left="288" w:hanging="288"/>
        <w:jc w:val="both"/>
      </w:pPr>
      <w:r>
        <w:rPr>
          <w:rFonts w:ascii="Times New Roman" w:hAnsi="Times New Roman"/>
          <w:sz w:val="16"/>
        </w:rPr>
        <w:t>[6] R. Gajera, "Integrating Power BI with project control systems: Enhancing real-time cost tracking and visualization in construction," International Journal of Scientific Research in Civil Engineering (IJSRCE), vol. 7, no. 5, pp. 154–160, 2023. DOI: 10.32628/IJSRCE123761</w:t>
      </w:r>
    </w:p>
    <w:p>
      <w:pPr>
        <w:spacing w:after="60"/>
        <w:ind w:left="288" w:hanging="288"/>
        <w:jc w:val="both"/>
      </w:pPr>
      <w:r>
        <w:rPr>
          <w:rFonts w:ascii="Times New Roman" w:hAnsi="Times New Roman"/>
          <w:sz w:val="16"/>
        </w:rPr>
        <w:t>[7] B. O. Sanusi, "The role of data-driven decision-making in reducing project delays and cost overruns in civil engineering projects," SAMRIDDHI: A Journal of Physical Sciences, Engineering and Technology, vol. 16, no. 4, pp. 182–192, 2024. DOI: 10.18090/samriddhi.v16i04.08</w:t>
      </w:r>
    </w:p>
    <w:p>
      <w:pPr>
        <w:spacing w:after="60"/>
        <w:ind w:left="288" w:hanging="288"/>
        <w:jc w:val="both"/>
      </w:pPr>
      <w:r>
        <w:rPr>
          <w:rFonts w:ascii="Times New Roman" w:hAnsi="Times New Roman"/>
          <w:sz w:val="16"/>
        </w:rPr>
        <w:t>[8] K. Radman, M. B. Jelodar, R. Lovreglio, E. Ghazizadeh, and S. Wilkinson, "Digital technologies and data-driven delay management process for construction projects," Frontiers in Built Environment, vol. 8, Art. ID 1029586, 2022. DOI: 10.3389/fbuil.2022.1029586</w:t>
      </w:r>
    </w:p>
    <w:p>
      <w:pPr>
        <w:spacing w:after="60"/>
        <w:ind w:left="288" w:hanging="288"/>
        <w:jc w:val="both"/>
      </w:pPr>
      <w:r>
        <w:rPr>
          <w:rFonts w:ascii="Times New Roman" w:hAnsi="Times New Roman"/>
          <w:sz w:val="16"/>
        </w:rPr>
        <w:t>[9] A. Al-Sulaiti, M. Mansour, H. Al-Yafei, S. Aseel, M. Kucukvar, and N. C. Onat, "Using data analytics and visualization dashboard for EPC project performance assessment," in 2021 IEEE 8th International Conference on Industrial Engineering and Applications (ICIEA), pp. 207–211, 2021. DOI: 10.1109/ICIEA52957.2021.9436728</w:t>
      </w:r>
    </w:p>
    <w:sectPr w:rsidR="00FC693F" w:rsidRPr="0006063C" w:rsidSect="00034616">
      <w:type w:val="continuous"/>
      <w:pgSz w:w="11909" w:h="16834"/>
      <w:pgMar w:top="1080" w:right="893" w:bottom="1440" w:left="893" w:header="720" w:footer="720"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