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Liberation Serif" w:hAnsi="Liberation Serif"/>
          <w:b/>
          <w:color w:val="2F5597"/>
          <w:sz w:val="28"/>
        </w:rPr>
        <w:t>PROJECT REPORT</w:t>
      </w:r>
    </w:p>
    <w:p>
      <w:pPr>
        <w:spacing w:before="240"/>
        <w:jc w:val="center"/>
      </w:pPr>
      <w:r>
        <w:rPr>
          <w:rFonts w:ascii="Liberation Serif" w:hAnsi="Liberation Serif"/>
          <w:b/>
          <w:color w:val="17365D"/>
          <w:sz w:val="46"/>
        </w:rPr>
        <w:t>Cloud-Native Construction Project Intelligence Platform</w:t>
      </w:r>
    </w:p>
    <w:p>
      <w:pPr>
        <w:jc w:val="center"/>
      </w:pPr>
      <w:r>
        <w:rPr>
          <w:rFonts w:ascii="Liberation Serif" w:hAnsi="Liberation Serif"/>
          <w:b/>
          <w:color w:val="17365D"/>
          <w:sz w:val="40"/>
        </w:rPr>
        <w:t>for Predictive Delay and Cost Monitoring</w:t>
      </w:r>
    </w:p>
    <w:p>
      <w:pPr>
        <w:spacing w:before="160"/>
        <w:jc w:val="center"/>
      </w:pPr>
      <w:r>
        <w:rPr>
          <w:rFonts w:ascii="Liberation Serif" w:hAnsi="Liberation Serif"/>
          <w:b/>
          <w:color w:val="2F5597"/>
          <w:sz w:val="32"/>
        </w:rPr>
        <w:t>Using Power BI, Docker and Kubernetes</w:t>
      </w:r>
    </w:p>
    <w:p/>
    <w:tbl>
      <w:tblPr>
        <w:tblW w:type="auto" w:w="0"/>
        <w:jc w:val="center"/>
        <w:tblLayout w:type="fixed"/>
        <w:tblLook w:firstColumn="1" w:firstRow="1" w:lastColumn="0" w:lastRow="0" w:noHBand="0" w:noVBand="1" w:val="04A0"/>
      </w:tblPr>
      <w:tblGrid>
        <w:gridCol w:w="7654"/>
      </w:tblGrid>
      <w:tr>
        <w:tc>
          <w:tcPr>
            <w:tcW w:type="dxa" w:w="9412"/>
            <w:shd w:fill="D9EAF7"/>
          </w:tcPr>
          <w:p/>
        </w:tc>
      </w:tr>
    </w:tbl>
    <w:p/>
    <w:p>
      <w:pPr>
        <w:jc w:val="center"/>
      </w:pPr>
      <w:r>
        <w:rPr>
          <w:rFonts w:ascii="Liberation Serif" w:hAnsi="Liberation Serif"/>
          <w:b/>
          <w:color w:val="222222"/>
          <w:sz w:val="24"/>
        </w:rPr>
        <w:t>Literature Review, Research Gap, Objectives, and Proposed Architecture</w:t>
      </w:r>
    </w:p>
    <w:p>
      <w:pPr>
        <w:spacing w:before="120"/>
        <w:jc w:val="center"/>
      </w:pPr>
      <w:r>
        <w:rPr>
          <w:rFonts w:ascii="Liberation Serif" w:hAnsi="Liberation Serif"/>
          <w:color w:val="555555"/>
          <w:sz w:val="22"/>
        </w:rPr>
        <w:t>Domain: Civil Engineering / Construction Project Controls</w:t>
      </w:r>
    </w:p>
    <w:p>
      <w:pPr>
        <w:jc w:val="center"/>
      </w:pPr>
      <w:r>
        <w:rPr>
          <w:rFonts w:ascii="Liberation Serif" w:hAnsi="Liberation Serif"/>
          <w:color w:val="555555"/>
          <w:sz w:val="21"/>
        </w:rPr>
        <w:t>Core Technologies: Microsoft Power BI | Docker | Kubernetes | Python | PostgreSQL</w:t>
      </w:r>
    </w:p>
    <w:p>
      <w:pPr>
        <w:spacing w:before="800"/>
        <w:jc w:val="center"/>
      </w:pPr>
      <w:r>
        <w:rPr>
          <w:rFonts w:ascii="Liberation Serif" w:hAnsi="Liberation Serif"/>
          <w:i/>
          <w:color w:val="777777"/>
          <w:sz w:val="21"/>
        </w:rPr>
        <w:t>Prepared as a project concept and literature-based design report</w:t>
      </w:r>
    </w:p>
    <w:p>
      <w:r>
        <w:br w:type="page"/>
      </w:r>
    </w:p>
    <w:p>
      <w:pPr>
        <w:pStyle w:val="Heading1"/>
      </w:pPr>
      <w:r>
        <w:t>1. Abstract</w:t>
      </w:r>
    </w:p>
    <w:p>
      <w:pPr>
        <w:spacing w:after="160" w:line="269" w:lineRule="auto"/>
        <w:jc w:val="both"/>
      </w:pPr>
      <w:r>
        <w:rPr>
          <w:rFonts w:ascii="Liberation Serif" w:hAnsi="Liberation Serif"/>
          <w:i w:val="0"/>
          <w:color w:val="222222"/>
          <w:sz w:val="21"/>
        </w:rPr>
        <w:t>Civil engineering and construction projects continuously generate schedule, cost, progress, resource, and site-status data, yet these data are frequently fragmented across spreadsheets and project-control applications. Existing research demonstrates the value of visual analytics, Power BI dashboards, BIM-based progress monitoring, and data-driven delay management; however, the reviewed studies generally treat visualization, prediction, data integration, and system deployment as separate concerns. This project proposes a cloud-native Construction Project Intelligence Platform that integrates near-real-time project-control data, computes cost and schedule performance indicators, estimates delay risk, and presents decision-ready information through Microsoft Power BI. The backend is packaged as Docker containers and orchestrated by Kubernetes to provide repeatable deployment, service isolation, health monitoring, recovery, and horizontal scaling. A centralized PostgreSQL database stores project-control and analytics results, while containerized ingestion and analytics services perform validation, KPI computation, and optional machine-learning-based delay-risk scoring. Power BI consumes curated data from the platform to visualize cost variance, schedule variance, CPI, SPI, progress trends, and high-risk activities. The proposed work addresses a gap identified across six reviewed studies: the absence of a single, reproducible, scalable implementation that combines integrated construction data, predictive project-control analytics, Power BI visualization, and cloud-native orchestration.</w:t>
      </w:r>
    </w:p>
    <w:p>
      <w:pPr>
        <w:spacing w:after="160"/>
      </w:pPr>
      <w:r>
        <w:rPr>
          <w:rFonts w:ascii="Liberation Serif" w:hAnsi="Liberation Serif"/>
          <w:b/>
          <w:color w:val="222222"/>
          <w:sz w:val="21"/>
        </w:rPr>
        <w:t xml:space="preserve">Keywords: </w:t>
      </w:r>
      <w:r>
        <w:rPr>
          <w:rFonts w:ascii="Liberation Serif" w:hAnsi="Liberation Serif"/>
          <w:i/>
          <w:color w:val="222222"/>
          <w:sz w:val="21"/>
        </w:rPr>
        <w:t>Power BI, Docker, Kubernetes, construction project controls, delay risk, cost overrun, data-driven decision-making, visual analytics.</w:t>
      </w:r>
    </w:p>
    <w:p>
      <w:pPr>
        <w:pStyle w:val="Heading1"/>
      </w:pPr>
      <w:r>
        <w:t>2. Literature Review</w:t>
      </w:r>
    </w:p>
    <w:p>
      <w:pPr>
        <w:spacing w:after="120" w:line="269" w:lineRule="auto"/>
        <w:ind w:firstLine="340"/>
        <w:jc w:val="both"/>
      </w:pPr>
      <w:r>
        <w:rPr>
          <w:rFonts w:ascii="Liberation Serif" w:hAnsi="Liberation Serif"/>
          <w:i w:val="0"/>
          <w:color w:val="222222"/>
          <w:sz w:val="21"/>
        </w:rPr>
        <w:t>Construction project management is increasingly moving from static reporting toward interactive visual analytics and data-driven decision support. Chiu and Russell [1] established an early design foundation by proposing a top-down construction-management data visualization environment. Their work emphasized analytical reasoning for time management, including baseline schedule assessment, planned-versus-actual comparison, and diagnosis of deviations. The study showed that visualization can reduce the cognitive burden created by large and heterogeneous project datasets, but its detailed case emphasis was primarily on schedule/time management rather than an integrated cost, risk, and deployment platform.</w:t>
      </w:r>
    </w:p>
    <w:p>
      <w:pPr>
        <w:spacing w:after="120" w:line="269" w:lineRule="auto"/>
        <w:ind w:firstLine="340"/>
        <w:jc w:val="both"/>
      </w:pPr>
      <w:r>
        <w:rPr>
          <w:rFonts w:ascii="Liberation Serif" w:hAnsi="Liberation Serif"/>
          <w:i w:val="0"/>
          <w:color w:val="222222"/>
          <w:sz w:val="21"/>
        </w:rPr>
        <w:t>A decade later, Al-Sulaiti et al. [2] demonstrated a more dashboard-oriented approach for Engineering, Procurement, and Construction (EPC) performance assessment. Their workflow organized project data using an Entity Relationship Diagram, retrieved the database into Microsoft Power BI, and used KPIs and interactive visualizations to support progress reporting and performance monitoring. This work provides direct evidence for Power BI as a practical project-control visualization layer; however, it focuses mainly on assessment and reporting rather than a predictive and cloud-native backend architecture.</w:t>
      </w:r>
    </w:p>
    <w:p>
      <w:pPr>
        <w:spacing w:after="120" w:line="269" w:lineRule="auto"/>
        <w:ind w:firstLine="340"/>
        <w:jc w:val="both"/>
      </w:pPr>
      <w:r>
        <w:rPr>
          <w:rFonts w:ascii="Liberation Serif" w:hAnsi="Liberation Serif"/>
          <w:i w:val="0"/>
          <w:color w:val="222222"/>
          <w:sz w:val="21"/>
        </w:rPr>
        <w:t>Radman et al. [3] widened the scope from dashboards to a full data lifecycle for construction delay management. Through a systematic literature review, they classified digital technologies for data collection, screening/analysis, and presentation, and proposed a process-based framework centered on a cloud-based relational database. Their framework explicitly includes sensors, IoT, BIM, planning tools, Primavera, and BI tools such as Power BI. Importantly, the authors state that integrated management systems, relationships among entities, data-flow types, and big-data centralization require further investigation. This is highly relevant to the proposed project because it motivates an implementable integration layer rather than a conceptual data-flow framework alone.</w:t>
      </w:r>
    </w:p>
    <w:p>
      <w:pPr>
        <w:spacing w:after="120" w:line="269" w:lineRule="auto"/>
        <w:ind w:firstLine="340"/>
        <w:jc w:val="both"/>
      </w:pPr>
      <w:r>
        <w:rPr>
          <w:rFonts w:ascii="Liberation Serif" w:hAnsi="Liberation Serif"/>
          <w:i w:val="0"/>
          <w:color w:val="222222"/>
          <w:sz w:val="21"/>
        </w:rPr>
        <w:t>Gajera [4] specifically examined the integration of Power BI with project-control systems for near-real-time construction cost tracking. The paper synthesizes secondary sources and industry cases and reports improvements in visibility, reporting, stakeholder communication, and timely decision-making. At the same time, it identifies data compatibility, cleansing, user adoption, and training as recurring implementation challenges. The study also acknowledges that it relies on secondary data and lacks primary experimental evidence, leaving room for an implemented prototype whose data integration and deployment behavior can be directly evaluated.</w:t>
      </w:r>
    </w:p>
    <w:p>
      <w:pPr>
        <w:spacing w:after="120" w:line="269" w:lineRule="auto"/>
        <w:ind w:firstLine="340"/>
        <w:jc w:val="both"/>
      </w:pPr>
      <w:r>
        <w:rPr>
          <w:rFonts w:ascii="Liberation Serif" w:hAnsi="Liberation Serif"/>
          <w:i w:val="0"/>
          <w:color w:val="222222"/>
          <w:sz w:val="21"/>
        </w:rPr>
        <w:t>Zhang and Wang [5] move beyond descriptive dashboards by quantifying schedule-delay risk. They combine BIM, historical duration data, probabilistic critical-path analysis, and a second-order reliability method (SORM) to identify critical tasks and estimate the probability of schedule failure. A real construction case with a 27-activity schedule is used for validation. The work demonstrates the value of proactive, data-driven risk estimation, but the authors identify significant setup effort, BIM modeling constraints, limited suitability for linear projects, and continued dependence on manual progress reporting. This suggests a need for a more general data pipeline in which predictive or risk-scoring services can consume standardized project-control records independently of one BIM-specific workflow.</w:t>
      </w:r>
    </w:p>
    <w:p>
      <w:pPr>
        <w:spacing w:after="120" w:line="269" w:lineRule="auto"/>
        <w:ind w:firstLine="340"/>
        <w:jc w:val="both"/>
      </w:pPr>
      <w:r>
        <w:rPr>
          <w:rFonts w:ascii="Liberation Serif" w:hAnsi="Liberation Serif"/>
          <w:i w:val="0"/>
          <w:color w:val="222222"/>
          <w:sz w:val="21"/>
        </w:rPr>
        <w:t>Sanusi [6] presents the broad managerial argument for data-driven decision-making (DDDM) in civil engineering, linking predictive analytics, BIM, IoT, machine learning, and real-time surveillance to reduction of project delays and cost overruns. The paper also summarizes practical barriers: poor data quality, integration difficulties, organizational resistance, skill gaps, and upfront investment. Taken together, the six studies reveal an evolution from visualization, to BI dashboards, to integrated data lifecycles, and finally to predictive decision support. What remains underdeveloped across the reviewed set is a reproducible deployment architecture that integrates these ideas into one scalable system using modern containerization and orchestration.</w:t>
      </w:r>
    </w:p>
    <w:p>
      <w:pPr>
        <w:sectPr>
          <w:footerReference w:type="default" r:id="rId9"/>
          <w:headerReference w:type="default" r:id="rId16"/>
          <w:pgSz w:w="11906" w:h="16838"/>
          <w:pgMar w:top="1134" w:right="1247" w:bottom="1134" w:left="1247" w:header="720" w:footer="720" w:gutter="0"/>
          <w:cols w:space="720"/>
          <w:docGrid w:linePitch="360"/>
        </w:sectPr>
      </w:pPr>
    </w:p>
    <w:p>
      <w:pPr>
        <w:pStyle w:val="Heading1"/>
      </w:pPr>
      <w:r>
        <w:t>3. Related Work</w:t>
      </w:r>
    </w:p>
    <w:p>
      <w:pPr>
        <w:spacing w:after="120"/>
      </w:pPr>
      <w:r>
        <w:rPr>
          <w:rFonts w:ascii="Liberation Serif" w:hAnsi="Liberation Serif"/>
          <w:i/>
          <w:color w:val="555555"/>
          <w:sz w:val="19"/>
        </w:rPr>
        <w:t>Table 1. Comparative analysis of six studies used to derive the proposed project.</w:t>
      </w:r>
    </w:p>
    <w:tbl>
      <w:tblPr>
        <w:tblStyle w:val="TableGrid"/>
        <w:tblW w:type="auto" w:w="0"/>
        <w:jc w:val="center"/>
        <w:tblLayout w:type="fixed"/>
        <w:tblLook w:firstColumn="1" w:firstRow="1" w:lastColumn="0" w:lastRow="0" w:noHBand="0" w:noVBand="1" w:val="04A0"/>
      </w:tblPr>
      <w:tblGrid>
        <w:gridCol w:w="2580"/>
        <w:gridCol w:w="2580"/>
        <w:gridCol w:w="2580"/>
        <w:gridCol w:w="2580"/>
        <w:gridCol w:w="2580"/>
        <w:gridCol w:w="2580"/>
      </w:tblGrid>
      <w:tr>
        <w:trPr>
          <w:tblHeader w:val="true"/>
        </w:trPr>
        <w:tc>
          <w:tcPr>
            <w:tcW w:type="dxa" w:w="1927"/>
            <w:shd w:fill="17365D"/>
            <w:vAlign w:val="top"/>
            <w:tcMar>
              <w:top w:w="60" w:type="dxa"/>
              <w:start w:w="70" w:type="dxa"/>
              <w:bottom w:w="60" w:type="dxa"/>
              <w:end w:w="70" w:type="dxa"/>
            </w:tcMar>
          </w:tcPr>
          <w:p>
            <w:pPr>
              <w:spacing w:after="40" w:line="240" w:lineRule="auto"/>
              <w:jc w:val="center"/>
            </w:pPr>
            <w:r>
              <w:rPr>
                <w:rFonts w:ascii="Liberation Serif" w:hAnsi="Liberation Serif"/>
                <w:b/>
                <w:color w:val="FFFFFF"/>
                <w:sz w:val="16"/>
              </w:rPr>
              <w:t>Study</w:t>
            </w:r>
          </w:p>
        </w:tc>
        <w:tc>
          <w:tcPr>
            <w:tcW w:type="dxa" w:w="2267"/>
            <w:shd w:fill="17365D"/>
            <w:vAlign w:val="top"/>
            <w:tcMar>
              <w:top w:w="60" w:type="dxa"/>
              <w:start w:w="70" w:type="dxa"/>
              <w:bottom w:w="60" w:type="dxa"/>
              <w:end w:w="70" w:type="dxa"/>
            </w:tcMar>
          </w:tcPr>
          <w:p>
            <w:pPr>
              <w:spacing w:after="40" w:line="240" w:lineRule="auto"/>
              <w:jc w:val="center"/>
            </w:pPr>
            <w:r>
              <w:rPr>
                <w:rFonts w:ascii="Liberation Serif" w:hAnsi="Liberation Serif"/>
                <w:b/>
                <w:color w:val="FFFFFF"/>
                <w:sz w:val="16"/>
              </w:rPr>
              <w:t>Purpose</w:t>
            </w:r>
          </w:p>
        </w:tc>
        <w:tc>
          <w:tcPr>
            <w:tcW w:type="dxa" w:w="2834"/>
            <w:shd w:fill="17365D"/>
            <w:vAlign w:val="top"/>
            <w:tcMar>
              <w:top w:w="60" w:type="dxa"/>
              <w:start w:w="70" w:type="dxa"/>
              <w:bottom w:w="60" w:type="dxa"/>
              <w:end w:w="70" w:type="dxa"/>
            </w:tcMar>
          </w:tcPr>
          <w:p>
            <w:pPr>
              <w:spacing w:after="40" w:line="240" w:lineRule="auto"/>
              <w:jc w:val="center"/>
            </w:pPr>
            <w:r>
              <w:rPr>
                <w:rFonts w:ascii="Liberation Serif" w:hAnsi="Liberation Serif"/>
                <w:b/>
                <w:color w:val="FFFFFF"/>
                <w:sz w:val="16"/>
              </w:rPr>
              <w:t>Problem Definition</w:t>
            </w:r>
          </w:p>
        </w:tc>
        <w:tc>
          <w:tcPr>
            <w:tcW w:type="dxa" w:w="3061"/>
            <w:shd w:fill="17365D"/>
            <w:vAlign w:val="top"/>
            <w:tcMar>
              <w:top w:w="60" w:type="dxa"/>
              <w:start w:w="70" w:type="dxa"/>
              <w:bottom w:w="60" w:type="dxa"/>
              <w:end w:w="70" w:type="dxa"/>
            </w:tcMar>
          </w:tcPr>
          <w:p>
            <w:pPr>
              <w:spacing w:after="40" w:line="240" w:lineRule="auto"/>
              <w:jc w:val="center"/>
            </w:pPr>
            <w:r>
              <w:rPr>
                <w:rFonts w:ascii="Liberation Serif" w:hAnsi="Liberation Serif"/>
                <w:b/>
                <w:color w:val="FFFFFF"/>
                <w:sz w:val="16"/>
              </w:rPr>
              <w:t>Solution / Method</w:t>
            </w:r>
          </w:p>
        </w:tc>
        <w:tc>
          <w:tcPr>
            <w:tcW w:type="dxa" w:w="2834"/>
            <w:shd w:fill="17365D"/>
            <w:vAlign w:val="top"/>
            <w:tcMar>
              <w:top w:w="60" w:type="dxa"/>
              <w:start w:w="70" w:type="dxa"/>
              <w:bottom w:w="60" w:type="dxa"/>
              <w:end w:w="70" w:type="dxa"/>
            </w:tcMar>
          </w:tcPr>
          <w:p>
            <w:pPr>
              <w:spacing w:after="40" w:line="240" w:lineRule="auto"/>
              <w:jc w:val="center"/>
            </w:pPr>
            <w:r>
              <w:rPr>
                <w:rFonts w:ascii="Liberation Serif" w:hAnsi="Liberation Serif"/>
                <w:b/>
                <w:color w:val="FFFFFF"/>
                <w:sz w:val="16"/>
              </w:rPr>
              <w:t>Key Observation</w:t>
            </w:r>
          </w:p>
        </w:tc>
        <w:tc>
          <w:tcPr>
            <w:tcW w:type="dxa" w:w="2948"/>
            <w:shd w:fill="17365D"/>
            <w:vAlign w:val="top"/>
            <w:tcMar>
              <w:top w:w="60" w:type="dxa"/>
              <w:start w:w="70" w:type="dxa"/>
              <w:bottom w:w="60" w:type="dxa"/>
              <w:end w:w="70" w:type="dxa"/>
            </w:tcMar>
          </w:tcPr>
          <w:p>
            <w:pPr>
              <w:spacing w:after="40" w:line="240" w:lineRule="auto"/>
              <w:jc w:val="center"/>
            </w:pPr>
            <w:r>
              <w:rPr>
                <w:rFonts w:ascii="Liberation Serif" w:hAnsi="Liberation Serif"/>
                <w:b/>
                <w:color w:val="FFFFFF"/>
                <w:sz w:val="16"/>
              </w:rPr>
              <w:t>Limitation</w:t>
            </w:r>
          </w:p>
        </w:tc>
      </w:tr>
      <w:tr>
        <w:tc>
          <w:tcPr>
            <w:tcW w:type="dxa" w:w="1927"/>
            <w:vAlign w:val="top"/>
            <w:tcMar>
              <w:top w:w="60" w:type="dxa"/>
              <w:start w:w="70" w:type="dxa"/>
              <w:bottom w:w="60" w:type="dxa"/>
              <w:end w:w="70" w:type="dxa"/>
            </w:tcMar>
          </w:tcPr>
          <w:p>
            <w:pPr>
              <w:spacing w:after="40" w:line="240" w:lineRule="auto"/>
            </w:pPr>
            <w:r>
              <w:rPr>
                <w:rFonts w:ascii="Liberation Serif" w:hAnsi="Liberation Serif"/>
                <w:color w:val="222222"/>
                <w:sz w:val="15"/>
              </w:rPr>
              <w:t>Chiu &amp; Russell (2011) [1]</w:t>
            </w:r>
          </w:p>
        </w:tc>
        <w:tc>
          <w:tcPr>
            <w:tcW w:type="dxa" w:w="2267"/>
            <w:vAlign w:val="top"/>
            <w:tcMar>
              <w:top w:w="60" w:type="dxa"/>
              <w:start w:w="70" w:type="dxa"/>
              <w:bottom w:w="60" w:type="dxa"/>
              <w:end w:w="70" w:type="dxa"/>
            </w:tcMar>
          </w:tcPr>
          <w:p>
            <w:pPr>
              <w:spacing w:after="40" w:line="240" w:lineRule="auto"/>
            </w:pPr>
            <w:r>
              <w:rPr>
                <w:rFonts w:ascii="Liberation Serif" w:hAnsi="Liberation Serif"/>
                <w:color w:val="222222"/>
                <w:sz w:val="15"/>
              </w:rPr>
              <w:t>Design a construction-management visual analytics environment using a top-down approach, with emphasis on time management.</w:t>
            </w:r>
          </w:p>
        </w:tc>
        <w:tc>
          <w:tcPr>
            <w:tcW w:type="dxa" w:w="2834"/>
            <w:vAlign w:val="top"/>
            <w:tcMar>
              <w:top w:w="60" w:type="dxa"/>
              <w:start w:w="70" w:type="dxa"/>
              <w:bottom w:w="60" w:type="dxa"/>
              <w:end w:w="70" w:type="dxa"/>
            </w:tcMar>
          </w:tcPr>
          <w:p>
            <w:pPr>
              <w:spacing w:after="40" w:line="240" w:lineRule="auto"/>
            </w:pPr>
            <w:r>
              <w:rPr>
                <w:rFonts w:ascii="Liberation Serif" w:hAnsi="Liberation Serif"/>
                <w:color w:val="222222"/>
                <w:sz w:val="15"/>
              </w:rPr>
              <w:t>Large and heterogeneous construction datasets make it difficult for managers to understand schedule status, dependencies, and causes of deviation in a timely manner.</w:t>
            </w:r>
          </w:p>
        </w:tc>
        <w:tc>
          <w:tcPr>
            <w:tcW w:type="dxa" w:w="3061"/>
            <w:vAlign w:val="top"/>
            <w:tcMar>
              <w:top w:w="60" w:type="dxa"/>
              <w:start w:w="70" w:type="dxa"/>
              <w:bottom w:w="60" w:type="dxa"/>
              <w:end w:w="70" w:type="dxa"/>
            </w:tcMar>
          </w:tcPr>
          <w:p>
            <w:pPr>
              <w:spacing w:after="40" w:line="240" w:lineRule="auto"/>
            </w:pPr>
            <w:r>
              <w:rPr>
                <w:rFonts w:ascii="Liberation Serif" w:hAnsi="Liberation Serif"/>
                <w:color w:val="222222"/>
                <w:sz w:val="15"/>
              </w:rPr>
              <w:t>Defines analytical-reasoning requirements and implements interactive visualizations for baseline schedule quality, planned-vs-actual performance, and deviation analysis; demonstrates the environment on actual project data.</w:t>
            </w:r>
          </w:p>
        </w:tc>
        <w:tc>
          <w:tcPr>
            <w:tcW w:type="dxa" w:w="2834"/>
            <w:vAlign w:val="top"/>
            <w:tcMar>
              <w:top w:w="60" w:type="dxa"/>
              <w:start w:w="70" w:type="dxa"/>
              <w:bottom w:w="60" w:type="dxa"/>
              <w:end w:w="70" w:type="dxa"/>
            </w:tcMar>
          </w:tcPr>
          <w:p>
            <w:pPr>
              <w:spacing w:after="40" w:line="240" w:lineRule="auto"/>
            </w:pPr>
            <w:r>
              <w:rPr>
                <w:rFonts w:ascii="Liberation Serif" w:hAnsi="Liberation Serif"/>
                <w:color w:val="222222"/>
                <w:sz w:val="15"/>
              </w:rPr>
              <w:t>Interactive visualization can support planning, monitoring, diagnosis, and cause-effect reasoning more effectively than static reporting.</w:t>
            </w:r>
          </w:p>
        </w:tc>
        <w:tc>
          <w:tcPr>
            <w:tcW w:type="dxa" w:w="2948"/>
            <w:vAlign w:val="top"/>
            <w:tcMar>
              <w:top w:w="60" w:type="dxa"/>
              <w:start w:w="70" w:type="dxa"/>
              <w:bottom w:w="60" w:type="dxa"/>
              <w:end w:w="70" w:type="dxa"/>
            </w:tcMar>
          </w:tcPr>
          <w:p>
            <w:pPr>
              <w:spacing w:after="40" w:line="240" w:lineRule="auto"/>
            </w:pPr>
            <w:r>
              <w:rPr>
                <w:rFonts w:ascii="Liberation Serif" w:hAnsi="Liberation Serif"/>
                <w:color w:val="222222"/>
                <w:sz w:val="15"/>
              </w:rPr>
              <w:t>Case emphasis is mainly time/schedule management; broader CM functions require extension. Validation is case-based and does not address predictive analytics or cloud-native deployment.</w:t>
            </w:r>
          </w:p>
        </w:tc>
      </w:tr>
      <w:tr>
        <w:tc>
          <w:tcPr>
            <w:tcW w:type="dxa" w:w="1927"/>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Al-Sulaiti et al. (2021) [2]</w:t>
            </w:r>
          </w:p>
        </w:tc>
        <w:tc>
          <w:tcPr>
            <w:tcW w:type="dxa" w:w="2267"/>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Use data analytics and a Power BI dashboard to assess EPC project performance and improve reporting/monitoring.</w:t>
            </w:r>
          </w:p>
        </w:tc>
        <w:tc>
          <w:tcPr>
            <w:tcW w:type="dxa" w:w="2834"/>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EPC data are distributed and difficult to interpret through conventional reports, reducing visibility of project performance.</w:t>
            </w:r>
          </w:p>
        </w:tc>
        <w:tc>
          <w:tcPr>
            <w:tcW w:type="dxa" w:w="3061"/>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Creates an ERD for collected project data, retrieves the database into Microsoft Power BI, and visualizes project KPIs for performance assessment.</w:t>
            </w:r>
          </w:p>
        </w:tc>
        <w:tc>
          <w:tcPr>
            <w:tcW w:type="dxa" w:w="2834"/>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Power BI-based analytics can make performance information easier to access and can support portfolio, contractor, progress, and managerial monitoring.</w:t>
            </w:r>
          </w:p>
        </w:tc>
        <w:tc>
          <w:tcPr>
            <w:tcW w:type="dxa" w:w="2948"/>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Demonstrated through a real-company case with limited generalizability; primarily descriptive KPI monitoring, with limited predictive/early-warning capability.</w:t>
            </w:r>
          </w:p>
        </w:tc>
      </w:tr>
      <w:tr>
        <w:tc>
          <w:tcPr>
            <w:tcW w:type="dxa" w:w="1927"/>
            <w:vAlign w:val="top"/>
            <w:tcMar>
              <w:top w:w="60" w:type="dxa"/>
              <w:start w:w="70" w:type="dxa"/>
              <w:bottom w:w="60" w:type="dxa"/>
              <w:end w:w="70" w:type="dxa"/>
            </w:tcMar>
          </w:tcPr>
          <w:p>
            <w:pPr>
              <w:spacing w:after="40" w:line="240" w:lineRule="auto"/>
            </w:pPr>
            <w:r>
              <w:rPr>
                <w:rFonts w:ascii="Liberation Serif" w:hAnsi="Liberation Serif"/>
                <w:color w:val="222222"/>
                <w:sz w:val="15"/>
              </w:rPr>
              <w:t>Radman et al. (2022) [3]</w:t>
            </w:r>
          </w:p>
        </w:tc>
        <w:tc>
          <w:tcPr>
            <w:tcW w:type="dxa" w:w="2267"/>
            <w:vAlign w:val="top"/>
            <w:tcMar>
              <w:top w:w="60" w:type="dxa"/>
              <w:start w:w="70" w:type="dxa"/>
              <w:bottom w:w="60" w:type="dxa"/>
              <w:end w:w="70" w:type="dxa"/>
            </w:tcMar>
          </w:tcPr>
          <w:p>
            <w:pPr>
              <w:spacing w:after="40" w:line="240" w:lineRule="auto"/>
            </w:pPr>
            <w:r>
              <w:rPr>
                <w:rFonts w:ascii="Liberation Serif" w:hAnsi="Liberation Serif"/>
                <w:color w:val="222222"/>
                <w:sz w:val="15"/>
              </w:rPr>
              <w:t>Investigate digital technologies for delay management and propose a data-lifecycle framework for real-time construction information.</w:t>
            </w:r>
          </w:p>
        </w:tc>
        <w:tc>
          <w:tcPr>
            <w:tcW w:type="dxa" w:w="2834"/>
            <w:vAlign w:val="top"/>
            <w:tcMar>
              <w:top w:w="60" w:type="dxa"/>
              <w:start w:w="70" w:type="dxa"/>
              <w:bottom w:w="60" w:type="dxa"/>
              <w:end w:w="70" w:type="dxa"/>
            </w:tcMar>
          </w:tcPr>
          <w:p>
            <w:pPr>
              <w:spacing w:after="40" w:line="240" w:lineRule="auto"/>
            </w:pPr>
            <w:r>
              <w:rPr>
                <w:rFonts w:ascii="Liberation Serif" w:hAnsi="Liberation Serif"/>
                <w:color w:val="222222"/>
                <w:sz w:val="15"/>
              </w:rPr>
              <w:t>Construction technologies generate high-volume data, but data collection, analysis, presentation, and decision-making are fragmented and insufficiently integrated.</w:t>
            </w:r>
          </w:p>
        </w:tc>
        <w:tc>
          <w:tcPr>
            <w:tcW w:type="dxa" w:w="3061"/>
            <w:vAlign w:val="top"/>
            <w:tcMar>
              <w:top w:w="60" w:type="dxa"/>
              <w:start w:w="70" w:type="dxa"/>
              <w:bottom w:w="60" w:type="dxa"/>
              <w:end w:w="70" w:type="dxa"/>
            </w:tcMar>
          </w:tcPr>
          <w:p>
            <w:pPr>
              <w:spacing w:after="40" w:line="240" w:lineRule="auto"/>
            </w:pPr>
            <w:r>
              <w:rPr>
                <w:rFonts w:ascii="Liberation Serif" w:hAnsi="Liberation Serif"/>
                <w:color w:val="222222"/>
                <w:sz w:val="15"/>
              </w:rPr>
              <w:t>Systematic literature review plus thematic analysis; proposes a three-layer process framework covering data collection, database/analysis, and decision-making using IoT, BIM, scheduling tools, DBMS, and BI tools including Power BI.</w:t>
            </w:r>
          </w:p>
        </w:tc>
        <w:tc>
          <w:tcPr>
            <w:tcW w:type="dxa" w:w="2834"/>
            <w:vAlign w:val="top"/>
            <w:tcMar>
              <w:top w:w="60" w:type="dxa"/>
              <w:start w:w="70" w:type="dxa"/>
              <w:bottom w:w="60" w:type="dxa"/>
              <w:end w:w="70" w:type="dxa"/>
            </w:tcMar>
          </w:tcPr>
          <w:p>
            <w:pPr>
              <w:spacing w:after="40" w:line="240" w:lineRule="auto"/>
            </w:pPr>
            <w:r>
              <w:rPr>
                <w:rFonts w:ascii="Liberation Serif" w:hAnsi="Liberation Serif"/>
                <w:color w:val="222222"/>
                <w:sz w:val="15"/>
              </w:rPr>
              <w:t>Centralized data flow and timely reports can help decision-makers detect delay-related problems earlier; a cloud-based relational DBMS can act as the integration engine.</w:t>
            </w:r>
          </w:p>
        </w:tc>
        <w:tc>
          <w:tcPr>
            <w:tcW w:type="dxa" w:w="2948"/>
            <w:vAlign w:val="top"/>
            <w:tcMar>
              <w:top w:w="60" w:type="dxa"/>
              <w:start w:w="70" w:type="dxa"/>
              <w:bottom w:w="60" w:type="dxa"/>
              <w:end w:w="70" w:type="dxa"/>
            </w:tcMar>
          </w:tcPr>
          <w:p>
            <w:pPr>
              <w:spacing w:after="40" w:line="240" w:lineRule="auto"/>
            </w:pPr>
            <w:r>
              <w:rPr>
                <w:rFonts w:ascii="Liberation Serif" w:hAnsi="Liberation Serif"/>
                <w:color w:val="222222"/>
                <w:sz w:val="15"/>
              </w:rPr>
              <w:t>Framework is mainly conceptual; authors call for more investigation of integrated management systems, entity relationships, data-flow types, analysis efficiency, and big-data centralization.</w:t>
            </w:r>
          </w:p>
        </w:tc>
      </w:tr>
      <w:tr>
        <w:tc>
          <w:tcPr>
            <w:tcW w:type="dxa" w:w="1927"/>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Gajera (2023) [4]</w:t>
            </w:r>
          </w:p>
        </w:tc>
        <w:tc>
          <w:tcPr>
            <w:tcW w:type="dxa" w:w="2267"/>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Examine how integrating Power BI with project-control systems can improve near-real-time cost tracking and visualization.</w:t>
            </w:r>
          </w:p>
        </w:tc>
        <w:tc>
          <w:tcPr>
            <w:tcW w:type="dxa" w:w="2834"/>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Traditional cost reporting is slow and fragmented, while combining heterogeneous project-control data creates compatibility and adoption challenges.</w:t>
            </w:r>
          </w:p>
        </w:tc>
        <w:tc>
          <w:tcPr>
            <w:tcW w:type="dxa" w:w="3061"/>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Qualitative secondary-data synthesis of literature, industry reports, and case studies on Power BI integration, cost visibility, decision-making, and stakeholder engagement.</w:t>
            </w:r>
          </w:p>
        </w:tc>
        <w:tc>
          <w:tcPr>
            <w:tcW w:type="dxa" w:w="2834"/>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Reports indicate improved cost visibility, faster reporting, and more timely decisions when Power BI is integrated with project-control data.</w:t>
            </w:r>
          </w:p>
        </w:tc>
        <w:tc>
          <w:tcPr>
            <w:tcW w:type="dxa" w:w="2948"/>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No primary implementation or controlled experiment; findings depend on secondary sources. Data compatibility, cleansing, training, and resistance to change remain key issues.</w:t>
            </w:r>
          </w:p>
        </w:tc>
      </w:tr>
      <w:tr>
        <w:tc>
          <w:tcPr>
            <w:tcW w:type="dxa" w:w="1927"/>
            <w:vAlign w:val="top"/>
            <w:tcMar>
              <w:top w:w="60" w:type="dxa"/>
              <w:start w:w="70" w:type="dxa"/>
              <w:bottom w:w="60" w:type="dxa"/>
              <w:end w:w="70" w:type="dxa"/>
            </w:tcMar>
          </w:tcPr>
          <w:p>
            <w:pPr>
              <w:spacing w:after="40" w:line="240" w:lineRule="auto"/>
            </w:pPr>
            <w:r>
              <w:rPr>
                <w:rFonts w:ascii="Liberation Serif" w:hAnsi="Liberation Serif"/>
                <w:color w:val="222222"/>
                <w:sz w:val="15"/>
              </w:rPr>
              <w:t>Zhang &amp; Wang (2023) [5]</w:t>
            </w:r>
          </w:p>
        </w:tc>
        <w:tc>
          <w:tcPr>
            <w:tcW w:type="dxa" w:w="2267"/>
            <w:vAlign w:val="top"/>
            <w:tcMar>
              <w:top w:w="60" w:type="dxa"/>
              <w:start w:w="70" w:type="dxa"/>
              <w:bottom w:w="60" w:type="dxa"/>
              <w:end w:w="70" w:type="dxa"/>
            </w:tcMar>
          </w:tcPr>
          <w:p>
            <w:pPr>
              <w:spacing w:after="40" w:line="240" w:lineRule="auto"/>
            </w:pPr>
            <w:r>
              <w:rPr>
                <w:rFonts w:ascii="Liberation Serif" w:hAnsi="Liberation Serif"/>
                <w:color w:val="222222"/>
                <w:sz w:val="15"/>
              </w:rPr>
              <w:t>Quantify construction schedule-delay risk using data-driven BIM and probabilistic reliability analysis.</w:t>
            </w:r>
          </w:p>
        </w:tc>
        <w:tc>
          <w:tcPr>
            <w:tcW w:type="dxa" w:w="2834"/>
            <w:vAlign w:val="top"/>
            <w:tcMar>
              <w:top w:w="60" w:type="dxa"/>
              <w:start w:w="70" w:type="dxa"/>
              <w:bottom w:w="60" w:type="dxa"/>
              <w:end w:w="70" w:type="dxa"/>
            </w:tcMar>
          </w:tcPr>
          <w:p>
            <w:pPr>
              <w:spacing w:after="40" w:line="240" w:lineRule="auto"/>
            </w:pPr>
            <w:r>
              <w:rPr>
                <w:rFonts w:ascii="Liberation Serif" w:hAnsi="Liberation Serif"/>
                <w:color w:val="222222"/>
                <w:sz w:val="15"/>
              </w:rPr>
              <w:t>Manual progress management is time-consuming and error-prone, while uncertain task durations make it difficult to identify critical schedule-failure risk proactively.</w:t>
            </w:r>
          </w:p>
        </w:tc>
        <w:tc>
          <w:tcPr>
            <w:tcW w:type="dxa" w:w="3061"/>
            <w:vAlign w:val="top"/>
            <w:tcMar>
              <w:top w:w="60" w:type="dxa"/>
              <w:start w:w="70" w:type="dxa"/>
              <w:bottom w:w="60" w:type="dxa"/>
              <w:end w:w="70" w:type="dxa"/>
            </w:tcMar>
          </w:tcPr>
          <w:p>
            <w:pPr>
              <w:spacing w:after="40" w:line="240" w:lineRule="auto"/>
            </w:pPr>
            <w:r>
              <w:rPr>
                <w:rFonts w:ascii="Liberation Serif" w:hAnsi="Liberation Serif"/>
                <w:color w:val="222222"/>
                <w:sz w:val="15"/>
              </w:rPr>
              <w:t>Combines BIM, historical duration estimation, probabilistic critical-path modeling, SORM, visualization, and a real 27-activity construction case.</w:t>
            </w:r>
          </w:p>
        </w:tc>
        <w:tc>
          <w:tcPr>
            <w:tcW w:type="dxa" w:w="2834"/>
            <w:vAlign w:val="top"/>
            <w:tcMar>
              <w:top w:w="60" w:type="dxa"/>
              <w:start w:w="70" w:type="dxa"/>
              <w:bottom w:w="60" w:type="dxa"/>
              <w:end w:w="70" w:type="dxa"/>
            </w:tcMar>
          </w:tcPr>
          <w:p>
            <w:pPr>
              <w:spacing w:after="40" w:line="240" w:lineRule="auto"/>
            </w:pPr>
            <w:r>
              <w:rPr>
                <w:rFonts w:ascii="Liberation Serif" w:hAnsi="Liberation Serif"/>
                <w:color w:val="222222"/>
                <w:sz w:val="15"/>
              </w:rPr>
              <w:t>The method can dynamically estimate schedule-failure risk and identify critical tasks with a balance of computational efficiency and accuracy.</w:t>
            </w:r>
          </w:p>
        </w:tc>
        <w:tc>
          <w:tcPr>
            <w:tcW w:type="dxa" w:w="2948"/>
            <w:vAlign w:val="top"/>
            <w:tcMar>
              <w:top w:w="60" w:type="dxa"/>
              <w:start w:w="70" w:type="dxa"/>
              <w:bottom w:w="60" w:type="dxa"/>
              <w:end w:w="70" w:type="dxa"/>
            </w:tcMar>
          </w:tcPr>
          <w:p>
            <w:pPr>
              <w:spacing w:after="40" w:line="240" w:lineRule="auto"/>
            </w:pPr>
            <w:r>
              <w:rPr>
                <w:rFonts w:ascii="Liberation Serif" w:hAnsi="Liberation Serif"/>
                <w:color w:val="222222"/>
                <w:sz w:val="15"/>
              </w:rPr>
              <w:t>Complex initial quota-database setup; some work is difficult to model in BIM; limited suitability for linear projects; manual progress reports are still required and can introduce errors.</w:t>
            </w:r>
          </w:p>
        </w:tc>
      </w:tr>
      <w:tr>
        <w:tc>
          <w:tcPr>
            <w:tcW w:type="dxa" w:w="1927"/>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Sanusi (2024) [6]</w:t>
            </w:r>
          </w:p>
        </w:tc>
        <w:tc>
          <w:tcPr>
            <w:tcW w:type="dxa" w:w="2267"/>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Explain how data-driven decision-making can reduce delays and cost overruns in civil engineering projects.</w:t>
            </w:r>
          </w:p>
        </w:tc>
        <w:tc>
          <w:tcPr>
            <w:tcW w:type="dxa" w:w="2834"/>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Traditional management methods struggle with complex, multidimensional projects and often react too late to schedule and cost problems.</w:t>
            </w:r>
          </w:p>
        </w:tc>
        <w:tc>
          <w:tcPr>
            <w:tcW w:type="dxa" w:w="3061"/>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Synthesizes applications of predictive analytics, BIM, IoT, machine learning, historical data, and real-time monitoring for forecasting, resource allocation, and coordination.</w:t>
            </w:r>
          </w:p>
        </w:tc>
        <w:tc>
          <w:tcPr>
            <w:tcW w:type="dxa" w:w="2834"/>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DDDM can improve forecasting, risk detection, resource allocation, accountability, and cost optimization when reliable data and organizational support are available.</w:t>
            </w:r>
          </w:p>
        </w:tc>
        <w:tc>
          <w:tcPr>
            <w:tcW w:type="dxa" w:w="2948"/>
            <w:shd w:fill="EEF4F9"/>
            <w:vAlign w:val="top"/>
            <w:tcMar>
              <w:top w:w="60" w:type="dxa"/>
              <w:start w:w="70" w:type="dxa"/>
              <w:bottom w:w="60" w:type="dxa"/>
              <w:end w:w="70" w:type="dxa"/>
            </w:tcMar>
          </w:tcPr>
          <w:p>
            <w:pPr>
              <w:spacing w:after="40" w:line="240" w:lineRule="auto"/>
            </w:pPr>
            <w:r>
              <w:rPr>
                <w:rFonts w:ascii="Liberation Serif" w:hAnsi="Liberation Serif"/>
                <w:color w:val="222222"/>
                <w:sz w:val="15"/>
              </w:rPr>
              <w:t>Data quality, system integration, organizational culture, skills, cybersecurity/infrastructure, and upfront investment can constrain adoption; evidence is largely review/case-based rather than one validated end-to-end system.</w:t>
            </w:r>
          </w:p>
        </w:tc>
      </w:tr>
    </w:tbl>
    <w:p>
      <w:pPr>
        <w:sectPr>
          <w:headerReference w:type="default" r:id="rId17"/>
          <w:pgSz w:w="16838" w:h="11906" w:orient="landscape"/>
          <w:pgMar w:top="794" w:right="680" w:bottom="794" w:left="680" w:header="720" w:footer="720" w:gutter="0"/>
          <w:cols w:space="720"/>
          <w:docGrid w:linePitch="360"/>
        </w:sectPr>
      </w:pPr>
    </w:p>
    <w:p>
      <w:pPr>
        <w:pStyle w:val="Heading1"/>
      </w:pPr>
      <w:r>
        <w:t>4. Research Gap Identified</w:t>
      </w:r>
    </w:p>
    <w:p>
      <w:pPr>
        <w:spacing w:after="120" w:line="269" w:lineRule="auto"/>
        <w:ind w:firstLine="340"/>
        <w:jc w:val="both"/>
      </w:pPr>
      <w:r>
        <w:rPr>
          <w:rFonts w:ascii="Liberation Serif" w:hAnsi="Liberation Serif"/>
          <w:i w:val="0"/>
          <w:color w:val="222222"/>
          <w:sz w:val="21"/>
        </w:rPr>
        <w:t>The reviewed literature establishes four important capabilities: (i) interactive construction data visualization [1], (ii) Power BI-based performance dashboards [2,4], (iii) integrated real-time data lifecycles and centralized databases [3], and (iv) proactive delay-risk or predictive decision support [5,6]. However, these capabilities are mostly studied independently rather than implemented as one deployable platform.</w:t>
      </w:r>
    </w:p>
    <w:p>
      <w:pPr>
        <w:spacing w:after="120" w:line="269" w:lineRule="auto"/>
        <w:ind w:firstLine="340"/>
        <w:jc w:val="both"/>
      </w:pPr>
      <w:r>
        <w:rPr>
          <w:rFonts w:ascii="Liberation Serif" w:hAnsi="Liberation Serif"/>
          <w:i w:val="0"/>
          <w:color w:val="222222"/>
          <w:sz w:val="21"/>
        </w:rPr>
        <w:t>Across the six reviewed studies, no work presents a single reproducible architecture in which heterogeneous project-control data are ingested by containerized services, validated and stored centrally, processed for cost/schedule KPIs and predictive delay-risk indicators, orchestrated by Kubernetes for fault recovery and scaling, and exposed to Power BI as the management visualization layer. Radman et al. [3] explicitly call for further investigation into integrated management systems, data relationships, data-flow types, and big-data centralization, while Gajera [4] highlights compatibility and implementation problems. Zhang and Wang [5] demonstrate quantitative risk analysis but retain setup and manual-reporting constraints. These combined limitations motivate a cloud-native integration and deployment contribution.</w:t>
      </w:r>
    </w:p>
    <w:p>
      <w:pPr>
        <w:spacing w:before="80" w:after="120"/>
      </w:pPr>
      <w:r>
        <w:rPr>
          <w:rFonts w:ascii="Liberation Serif" w:hAnsi="Liberation Serif"/>
          <w:b/>
          <w:color w:val="2F5597"/>
          <w:sz w:val="21"/>
        </w:rPr>
        <w:t xml:space="preserve">Research gap statement: </w:t>
      </w:r>
      <w:r>
        <w:rPr>
          <w:rFonts w:ascii="Liberation Serif" w:hAnsi="Liberation Serif"/>
          <w:b/>
          <w:color w:val="222222"/>
          <w:sz w:val="21"/>
        </w:rPr>
        <w:t>There is a need for a scalable, reproducible, cloud-native construction project intelligence platform that unifies data integration, performance analytics, predictive delay-risk monitoring, and Power BI visualization while explicitly addressing deployment reliability and scalability through Docker and Kubernetes.</w:t>
      </w:r>
    </w:p>
    <w:p>
      <w:pPr>
        <w:pStyle w:val="Heading1"/>
      </w:pPr>
      <w:r>
        <w:t>5. Objectives</w:t>
      </w:r>
    </w:p>
    <w:p>
      <w:pPr>
        <w:pStyle w:val="ListNumber"/>
        <w:spacing w:after="80"/>
      </w:pPr>
      <w:r>
        <w:rPr>
          <w:rFonts w:ascii="Liberation Serif" w:hAnsi="Liberation Serif"/>
          <w:color w:val="222222"/>
          <w:sz w:val="21"/>
        </w:rPr>
        <w:t>Design a unified data model for construction project-control information, including project, activity, planned and actual dates, planned and actual cost, earned value, progress percentage, resources, and risk indicators.</w:t>
      </w:r>
    </w:p>
    <w:p>
      <w:pPr>
        <w:pStyle w:val="ListNumber"/>
        <w:spacing w:after="80"/>
      </w:pPr>
      <w:r>
        <w:rPr>
          <w:rFonts w:ascii="Liberation Serif" w:hAnsi="Liberation Serif"/>
          <w:color w:val="222222"/>
          <w:sz w:val="21"/>
        </w:rPr>
        <w:t>Develop a containerized data-ingestion and validation service that accepts CSV/Excel exports or REST-based project updates and stores standardized records in PostgreSQL.</w:t>
      </w:r>
    </w:p>
    <w:p>
      <w:pPr>
        <w:pStyle w:val="ListNumber"/>
        <w:spacing w:after="80"/>
      </w:pPr>
      <w:r>
        <w:rPr>
          <w:rFonts w:ascii="Liberation Serif" w:hAnsi="Liberation Serif"/>
          <w:color w:val="222222"/>
          <w:sz w:val="21"/>
        </w:rPr>
        <w:t>Implement an analytics service to calculate Earned Value Management and schedule indicators such as Cost Variance (CV), Schedule Variance (SV), Cost Performance Index (CPI), Schedule Performance Index (SPI), and progress deviation.</w:t>
      </w:r>
    </w:p>
    <w:p>
      <w:pPr>
        <w:pStyle w:val="ListNumber"/>
        <w:spacing w:after="80"/>
      </w:pPr>
      <w:r>
        <w:rPr>
          <w:rFonts w:ascii="Liberation Serif" w:hAnsi="Liberation Serif"/>
          <w:color w:val="222222"/>
          <w:sz w:val="21"/>
        </w:rPr>
        <w:t>Implement a lightweight delay-risk module using historical/simulated project data to classify or score activities/projects according to the probability of delay, with the model kept modular so alternative algorithms can be compared.</w:t>
      </w:r>
    </w:p>
    <w:p>
      <w:pPr>
        <w:pStyle w:val="ListNumber"/>
        <w:spacing w:after="80"/>
      </w:pPr>
      <w:r>
        <w:rPr>
          <w:rFonts w:ascii="Liberation Serif" w:hAnsi="Liberation Serif"/>
          <w:color w:val="222222"/>
          <w:sz w:val="21"/>
        </w:rPr>
        <w:t>Create Power BI dashboards for portfolio overview, project drill-down, cost performance, schedule performance, delay-risk alerts, and trend analysis.</w:t>
      </w:r>
    </w:p>
    <w:p>
      <w:pPr>
        <w:pStyle w:val="ListNumber"/>
        <w:spacing w:after="80"/>
      </w:pPr>
      <w:r>
        <w:rPr>
          <w:rFonts w:ascii="Liberation Serif" w:hAnsi="Liberation Serif"/>
          <w:color w:val="222222"/>
          <w:sz w:val="21"/>
        </w:rPr>
        <w:t>Package backend services with Docker and deploy them on Kubernetes using Deployments, Services, ConfigMaps/Secrets, health checks, persistent storage, and optional Horizontal Pod Autoscaling.</w:t>
      </w:r>
    </w:p>
    <w:p>
      <w:pPr>
        <w:pStyle w:val="ListNumber"/>
        <w:spacing w:after="80"/>
      </w:pPr>
      <w:r>
        <w:rPr>
          <w:rFonts w:ascii="Liberation Serif" w:hAnsi="Liberation Serif"/>
          <w:color w:val="222222"/>
          <w:sz w:val="21"/>
        </w:rPr>
        <w:t>Evaluate the platform for analytical correctness, dashboard usefulness, deployment repeatability, recovery from service failure, and response-time/scaling behavior under increasing data or request loads.</w:t>
      </w:r>
    </w:p>
    <w:p>
      <w:pPr>
        <w:pStyle w:val="Heading1"/>
      </w:pPr>
      <w:r>
        <w:t>6. Proposed Design and Architecture</w:t>
      </w:r>
    </w:p>
    <w:p>
      <w:pPr>
        <w:pStyle w:val="Heading2"/>
      </w:pPr>
      <w:r>
        <w:t>6.1 Design Overview</w:t>
      </w:r>
    </w:p>
    <w:p>
      <w:pPr>
        <w:spacing w:after="120" w:line="269" w:lineRule="auto"/>
        <w:ind w:firstLine="340"/>
        <w:jc w:val="both"/>
      </w:pPr>
      <w:r>
        <w:rPr>
          <w:rFonts w:ascii="Liberation Serif" w:hAnsi="Liberation Serif"/>
          <w:i w:val="0"/>
          <w:color w:val="222222"/>
          <w:sz w:val="21"/>
        </w:rPr>
        <w:t>The proposed system separates project data collection, analytics, storage, orchestration, and visualization into modular components. Power BI is used as the user-facing business-intelligence layer, while Docker and Kubernetes operate the backend platform. Power BI itself is not containerized; instead, it connects to curated database views or an API exposed by the Kubernetes-hosted services. This design makes the mandatory technologies functionally meaningful rather than merely included as independent tools.</w:t>
      </w:r>
    </w:p>
    <w:p>
      <w:pPr>
        <w:spacing w:after="80"/>
      </w:pPr>
      <w:r>
        <w:rPr>
          <w:rFonts w:ascii="Liberation Serif" w:hAnsi="Liberation Serif"/>
          <w:b/>
          <w:color w:val="2F5597"/>
          <w:sz w:val="21"/>
        </w:rPr>
        <w:t xml:space="preserve">High-level data flow: </w:t>
      </w:r>
      <w:r>
        <w:rPr>
          <w:rFonts w:ascii="Liberation Serif" w:hAnsi="Liberation Serif"/>
          <w:b/>
          <w:color w:val="17365D"/>
          <w:sz w:val="20"/>
        </w:rPr>
        <w:t>Project Data -&gt; Ingestion API -&gt; PostgreSQL -&gt; Analytics + Delay-Risk Service -&gt; Curated Views/API -&gt; Power BI</w:t>
      </w:r>
    </w:p>
    <w:p>
      <w:pPr>
        <w:spacing w:after="180"/>
        <w:jc w:val="center"/>
      </w:pPr>
      <w:r>
        <w:rPr>
          <w:rFonts w:ascii="Liberation Serif" w:hAnsi="Liberation Serif"/>
          <w:i/>
          <w:color w:val="666666"/>
          <w:sz w:val="18"/>
        </w:rPr>
        <w:t>Docker packages the backend services; Kubernetes deploys and manages them; PostgreSQL stores standardized data; Power BI consumes curated outputs.</w:t>
      </w:r>
    </w:p>
    <w:p>
      <w:pPr>
        <w:pStyle w:val="Heading2"/>
      </w:pPr>
      <w:r>
        <w:t>6.2 Major Components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267"/>
            <w:shd w:fill="17365D"/>
            <w:vAlign w:val="top"/>
            <w:tcMar>
              <w:top w:w="60" w:type="dxa"/>
              <w:start w:w="70" w:type="dxa"/>
              <w:bottom w:w="60" w:type="dxa"/>
              <w:end w:w="70" w:type="dxa"/>
            </w:tcMar>
          </w:tcPr>
          <w:p>
            <w:pPr>
              <w:spacing w:after="40" w:line="240" w:lineRule="auto"/>
              <w:jc w:val="center"/>
            </w:pPr>
            <w:r>
              <w:rPr>
                <w:rFonts w:ascii="Liberation Serif" w:hAnsi="Liberation Serif"/>
                <w:b/>
                <w:color w:val="FFFFFF"/>
                <w:sz w:val="18"/>
              </w:rPr>
              <w:t>Layer / Component</w:t>
            </w:r>
          </w:p>
        </w:tc>
        <w:tc>
          <w:tcPr>
            <w:tcW w:type="dxa" w:w="2437"/>
            <w:shd w:fill="17365D"/>
            <w:vAlign w:val="top"/>
            <w:tcMar>
              <w:top w:w="60" w:type="dxa"/>
              <w:start w:w="70" w:type="dxa"/>
              <w:bottom w:w="60" w:type="dxa"/>
              <w:end w:w="70" w:type="dxa"/>
            </w:tcMar>
          </w:tcPr>
          <w:p>
            <w:pPr>
              <w:spacing w:after="40" w:line="240" w:lineRule="auto"/>
              <w:jc w:val="center"/>
            </w:pPr>
            <w:r>
              <w:rPr>
                <w:rFonts w:ascii="Liberation Serif" w:hAnsi="Liberation Serif"/>
                <w:b/>
                <w:color w:val="FFFFFF"/>
                <w:sz w:val="18"/>
              </w:rPr>
              <w:t>Technology</w:t>
            </w:r>
          </w:p>
        </w:tc>
        <w:tc>
          <w:tcPr>
            <w:tcW w:type="dxa" w:w="4535"/>
            <w:shd w:fill="17365D"/>
            <w:vAlign w:val="top"/>
            <w:tcMar>
              <w:top w:w="60" w:type="dxa"/>
              <w:start w:w="70" w:type="dxa"/>
              <w:bottom w:w="60" w:type="dxa"/>
              <w:end w:w="70" w:type="dxa"/>
            </w:tcMar>
          </w:tcPr>
          <w:p>
            <w:pPr>
              <w:spacing w:after="40" w:line="240" w:lineRule="auto"/>
              <w:jc w:val="center"/>
            </w:pPr>
            <w:r>
              <w:rPr>
                <w:rFonts w:ascii="Liberation Serif" w:hAnsi="Liberation Serif"/>
                <w:b/>
                <w:color w:val="FFFFFF"/>
                <w:sz w:val="18"/>
              </w:rPr>
              <w:t>Role in the Proposed System</w:t>
            </w:r>
          </w:p>
        </w:tc>
      </w:tr>
      <w:tr>
        <w:tc>
          <w:tcPr>
            <w:tcW w:type="dxa" w:w="2267"/>
            <w:vAlign w:val="top"/>
            <w:tcMar>
              <w:top w:w="60" w:type="dxa"/>
              <w:start w:w="70" w:type="dxa"/>
              <w:bottom w:w="60" w:type="dxa"/>
              <w:end w:w="70" w:type="dxa"/>
            </w:tcMar>
          </w:tcPr>
          <w:p>
            <w:pPr>
              <w:spacing w:after="40" w:line="240" w:lineRule="auto"/>
            </w:pPr>
            <w:r>
              <w:rPr>
                <w:rFonts w:ascii="Liberation Serif" w:hAnsi="Liberation Serif"/>
                <w:color w:val="222222"/>
                <w:sz w:val="17"/>
              </w:rPr>
              <w:t>Data Sources</w:t>
            </w:r>
          </w:p>
        </w:tc>
        <w:tc>
          <w:tcPr>
            <w:tcW w:type="dxa" w:w="2437"/>
            <w:vAlign w:val="top"/>
            <w:tcMar>
              <w:top w:w="60" w:type="dxa"/>
              <w:start w:w="70" w:type="dxa"/>
              <w:bottom w:w="60" w:type="dxa"/>
              <w:end w:w="70" w:type="dxa"/>
            </w:tcMar>
          </w:tcPr>
          <w:p>
            <w:pPr>
              <w:spacing w:after="40" w:line="240" w:lineRule="auto"/>
            </w:pPr>
            <w:r>
              <w:rPr>
                <w:rFonts w:ascii="Liberation Serif" w:hAnsi="Liberation Serif"/>
                <w:color w:val="222222"/>
                <w:sz w:val="17"/>
              </w:rPr>
              <w:t>CSV/Excel exports, REST updates, optional schedule/BIM-derived data</w:t>
            </w:r>
          </w:p>
        </w:tc>
        <w:tc>
          <w:tcPr>
            <w:tcW w:type="dxa" w:w="4535"/>
            <w:vAlign w:val="top"/>
            <w:tcMar>
              <w:top w:w="60" w:type="dxa"/>
              <w:start w:w="70" w:type="dxa"/>
              <w:bottom w:w="60" w:type="dxa"/>
              <w:end w:w="70" w:type="dxa"/>
            </w:tcMar>
          </w:tcPr>
          <w:p>
            <w:pPr>
              <w:spacing w:after="40" w:line="240" w:lineRule="auto"/>
            </w:pPr>
            <w:r>
              <w:rPr>
                <w:rFonts w:ascii="Liberation Serif" w:hAnsi="Liberation Serif"/>
                <w:color w:val="222222"/>
                <w:sz w:val="17"/>
              </w:rPr>
              <w:t>Provide planned/actual dates, cost, progress, resource, and site-status information.</w:t>
            </w:r>
          </w:p>
        </w:tc>
      </w:tr>
      <w:tr>
        <w:tc>
          <w:tcPr>
            <w:tcW w:type="dxa" w:w="226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Ingestion Service</w:t>
            </w:r>
          </w:p>
        </w:tc>
        <w:tc>
          <w:tcPr>
            <w:tcW w:type="dxa" w:w="243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Python + FastAPI, Docker</w:t>
            </w:r>
          </w:p>
        </w:tc>
        <w:tc>
          <w:tcPr>
            <w:tcW w:type="dxa" w:w="4535"/>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Receives project updates, validates schema, rejects invalid records, and writes standardized data to the database.</w:t>
            </w:r>
          </w:p>
        </w:tc>
      </w:tr>
      <w:tr>
        <w:tc>
          <w:tcPr>
            <w:tcW w:type="dxa" w:w="2267"/>
            <w:vAlign w:val="top"/>
            <w:tcMar>
              <w:top w:w="60" w:type="dxa"/>
              <w:start w:w="70" w:type="dxa"/>
              <w:bottom w:w="60" w:type="dxa"/>
              <w:end w:w="70" w:type="dxa"/>
            </w:tcMar>
          </w:tcPr>
          <w:p>
            <w:pPr>
              <w:spacing w:after="40" w:line="240" w:lineRule="auto"/>
            </w:pPr>
            <w:r>
              <w:rPr>
                <w:rFonts w:ascii="Liberation Serif" w:hAnsi="Liberation Serif"/>
                <w:color w:val="222222"/>
                <w:sz w:val="17"/>
              </w:rPr>
              <w:t>Central Data Store</w:t>
            </w:r>
          </w:p>
        </w:tc>
        <w:tc>
          <w:tcPr>
            <w:tcW w:type="dxa" w:w="2437"/>
            <w:vAlign w:val="top"/>
            <w:tcMar>
              <w:top w:w="60" w:type="dxa"/>
              <w:start w:w="70" w:type="dxa"/>
              <w:bottom w:w="60" w:type="dxa"/>
              <w:end w:w="70" w:type="dxa"/>
            </w:tcMar>
          </w:tcPr>
          <w:p>
            <w:pPr>
              <w:spacing w:after="40" w:line="240" w:lineRule="auto"/>
            </w:pPr>
            <w:r>
              <w:rPr>
                <w:rFonts w:ascii="Liberation Serif" w:hAnsi="Liberation Serif"/>
                <w:color w:val="222222"/>
                <w:sz w:val="17"/>
              </w:rPr>
              <w:t>PostgreSQL + Persistent Volume</w:t>
            </w:r>
          </w:p>
        </w:tc>
        <w:tc>
          <w:tcPr>
            <w:tcW w:type="dxa" w:w="4535"/>
            <w:vAlign w:val="top"/>
            <w:tcMar>
              <w:top w:w="60" w:type="dxa"/>
              <w:start w:w="70" w:type="dxa"/>
              <w:bottom w:w="60" w:type="dxa"/>
              <w:end w:w="70" w:type="dxa"/>
            </w:tcMar>
          </w:tcPr>
          <w:p>
            <w:pPr>
              <w:spacing w:after="40" w:line="240" w:lineRule="auto"/>
            </w:pPr>
            <w:r>
              <w:rPr>
                <w:rFonts w:ascii="Liberation Serif" w:hAnsi="Liberation Serif"/>
                <w:color w:val="222222"/>
                <w:sz w:val="17"/>
              </w:rPr>
              <w:t>Stores projects, activities, cost/progress histories, computed KPIs, risk scores, and audit timestamps.</w:t>
            </w:r>
          </w:p>
        </w:tc>
      </w:tr>
      <w:tr>
        <w:tc>
          <w:tcPr>
            <w:tcW w:type="dxa" w:w="226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Analytics Service</w:t>
            </w:r>
          </w:p>
        </w:tc>
        <w:tc>
          <w:tcPr>
            <w:tcW w:type="dxa" w:w="243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Python, Pandas/NumPy, Docker</w:t>
            </w:r>
          </w:p>
        </w:tc>
        <w:tc>
          <w:tcPr>
            <w:tcW w:type="dxa" w:w="4535"/>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Computes CV, SV, CPI, SPI, completion variance, rolling trends, and project-level summaries.</w:t>
            </w:r>
          </w:p>
        </w:tc>
      </w:tr>
      <w:tr>
        <w:tc>
          <w:tcPr>
            <w:tcW w:type="dxa" w:w="2267"/>
            <w:vAlign w:val="top"/>
            <w:tcMar>
              <w:top w:w="60" w:type="dxa"/>
              <w:start w:w="70" w:type="dxa"/>
              <w:bottom w:w="60" w:type="dxa"/>
              <w:end w:w="70" w:type="dxa"/>
            </w:tcMar>
          </w:tcPr>
          <w:p>
            <w:pPr>
              <w:spacing w:after="40" w:line="240" w:lineRule="auto"/>
            </w:pPr>
            <w:r>
              <w:rPr>
                <w:rFonts w:ascii="Liberation Serif" w:hAnsi="Liberation Serif"/>
                <w:color w:val="222222"/>
                <w:sz w:val="17"/>
              </w:rPr>
              <w:t>Delay-Risk Service</w:t>
            </w:r>
          </w:p>
        </w:tc>
        <w:tc>
          <w:tcPr>
            <w:tcW w:type="dxa" w:w="2437"/>
            <w:vAlign w:val="top"/>
            <w:tcMar>
              <w:top w:w="60" w:type="dxa"/>
              <w:start w:w="70" w:type="dxa"/>
              <w:bottom w:w="60" w:type="dxa"/>
              <w:end w:w="70" w:type="dxa"/>
            </w:tcMar>
          </w:tcPr>
          <w:p>
            <w:pPr>
              <w:spacing w:after="40" w:line="240" w:lineRule="auto"/>
            </w:pPr>
            <w:r>
              <w:rPr>
                <w:rFonts w:ascii="Liberation Serif" w:hAnsi="Liberation Serif"/>
                <w:color w:val="222222"/>
                <w:sz w:val="17"/>
              </w:rPr>
              <w:t>Scikit-learn or probabilistic scoring, Docker</w:t>
            </w:r>
          </w:p>
        </w:tc>
        <w:tc>
          <w:tcPr>
            <w:tcW w:type="dxa" w:w="4535"/>
            <w:vAlign w:val="top"/>
            <w:tcMar>
              <w:top w:w="60" w:type="dxa"/>
              <w:start w:w="70" w:type="dxa"/>
              <w:bottom w:w="60" w:type="dxa"/>
              <w:end w:w="70" w:type="dxa"/>
            </w:tcMar>
          </w:tcPr>
          <w:p>
            <w:pPr>
              <w:spacing w:after="40" w:line="240" w:lineRule="auto"/>
            </w:pPr>
            <w:r>
              <w:rPr>
                <w:rFonts w:ascii="Liberation Serif" w:hAnsi="Liberation Serif"/>
                <w:color w:val="222222"/>
                <w:sz w:val="17"/>
              </w:rPr>
              <w:t>Produces a delay-risk probability/score and exposes factors used by the dashboard.</w:t>
            </w:r>
          </w:p>
        </w:tc>
      </w:tr>
      <w:tr>
        <w:tc>
          <w:tcPr>
            <w:tcW w:type="dxa" w:w="226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Orchestration Layer</w:t>
            </w:r>
          </w:p>
        </w:tc>
        <w:tc>
          <w:tcPr>
            <w:tcW w:type="dxa" w:w="243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Kubernetes</w:t>
            </w:r>
          </w:p>
        </w:tc>
        <w:tc>
          <w:tcPr>
            <w:tcW w:type="dxa" w:w="4535"/>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Manages service discovery, replicas, health checks, restarts, configuration, secrets, storage, and optional autoscaling.</w:t>
            </w:r>
          </w:p>
        </w:tc>
      </w:tr>
      <w:tr>
        <w:tc>
          <w:tcPr>
            <w:tcW w:type="dxa" w:w="2267"/>
            <w:vAlign w:val="top"/>
            <w:tcMar>
              <w:top w:w="60" w:type="dxa"/>
              <w:start w:w="70" w:type="dxa"/>
              <w:bottom w:w="60" w:type="dxa"/>
              <w:end w:w="70" w:type="dxa"/>
            </w:tcMar>
          </w:tcPr>
          <w:p>
            <w:pPr>
              <w:spacing w:after="40" w:line="240" w:lineRule="auto"/>
            </w:pPr>
            <w:r>
              <w:rPr>
                <w:rFonts w:ascii="Liberation Serif" w:hAnsi="Liberation Serif"/>
                <w:color w:val="222222"/>
                <w:sz w:val="17"/>
              </w:rPr>
              <w:t>Visualization Layer</w:t>
            </w:r>
          </w:p>
        </w:tc>
        <w:tc>
          <w:tcPr>
            <w:tcW w:type="dxa" w:w="2437"/>
            <w:vAlign w:val="top"/>
            <w:tcMar>
              <w:top w:w="60" w:type="dxa"/>
              <w:start w:w="70" w:type="dxa"/>
              <w:bottom w:w="60" w:type="dxa"/>
              <w:end w:w="70" w:type="dxa"/>
            </w:tcMar>
          </w:tcPr>
          <w:p>
            <w:pPr>
              <w:spacing w:after="40" w:line="240" w:lineRule="auto"/>
            </w:pPr>
            <w:r>
              <w:rPr>
                <w:rFonts w:ascii="Liberation Serif" w:hAnsi="Liberation Serif"/>
                <w:color w:val="222222"/>
                <w:sz w:val="17"/>
              </w:rPr>
              <w:t>Microsoft Power BI</w:t>
            </w:r>
          </w:p>
        </w:tc>
        <w:tc>
          <w:tcPr>
            <w:tcW w:type="dxa" w:w="4535"/>
            <w:vAlign w:val="top"/>
            <w:tcMar>
              <w:top w:w="60" w:type="dxa"/>
              <w:start w:w="70" w:type="dxa"/>
              <w:bottom w:w="60" w:type="dxa"/>
              <w:end w:w="70" w:type="dxa"/>
            </w:tcMar>
          </w:tcPr>
          <w:p>
            <w:pPr>
              <w:spacing w:after="40" w:line="240" w:lineRule="auto"/>
            </w:pPr>
            <w:r>
              <w:rPr>
                <w:rFonts w:ascii="Liberation Serif" w:hAnsi="Liberation Serif"/>
                <w:color w:val="222222"/>
                <w:sz w:val="17"/>
              </w:rPr>
              <w:t>Displays executive KPIs, schedule/cost trends, high-risk activities, project drill-down, and alerts.</w:t>
            </w:r>
          </w:p>
        </w:tc>
      </w:tr>
    </w:tbl>
    <w:p>
      <w:pPr>
        <w:pStyle w:val="Heading2"/>
      </w:pPr>
      <w:r>
        <w:t>6.3 Logical Architecture</w:t>
      </w:r>
    </w:p>
    <w:p>
      <w:pPr>
        <w:spacing w:after="120" w:line="269" w:lineRule="auto"/>
        <w:jc w:val="both"/>
      </w:pPr>
      <w:r>
        <w:rPr>
          <w:rFonts w:ascii="Liberation Serif" w:hAnsi="Liberation Serif"/>
          <w:i w:val="0"/>
          <w:color w:val="222222"/>
          <w:sz w:val="21"/>
        </w:rPr>
        <w:t>1) Project-control files or API updates enter the Ingestion Service. 2) The service validates field types, dates, identifiers, and missing values before storing data in PostgreSQL. 3) The Analytics Service periodically or event-wise reads new records and computes EVM/schedule KPIs. 4) The Delay-Risk Service uses features such as progress deviation, SPI, cost trend, historical activity duration, and resource variance to generate a risk score. 5) Curated database views expose only reporting-ready fields. 6) Power BI reads these views and refreshes management dashboards. 7) Kubernetes continuously supervises the backend pods and restarts unhealthy services; if request volume increases, the ingestion/analytics replicas can be scaled without redesigning the application.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437"/>
            <w:shd w:fill="17365D"/>
            <w:vAlign w:val="top"/>
            <w:tcMar>
              <w:top w:w="60" w:type="dxa"/>
              <w:start w:w="70" w:type="dxa"/>
              <w:bottom w:w="60" w:type="dxa"/>
              <w:end w:w="70" w:type="dxa"/>
            </w:tcMar>
          </w:tcPr>
          <w:p>
            <w:pPr>
              <w:spacing w:after="40" w:line="240" w:lineRule="auto"/>
              <w:jc w:val="center"/>
            </w:pPr>
            <w:r>
              <w:rPr>
                <w:rFonts w:ascii="Liberation Serif" w:hAnsi="Liberation Serif"/>
                <w:b/>
                <w:color w:val="FFFFFF"/>
                <w:sz w:val="18"/>
              </w:rPr>
              <w:t>Kubernetes Object</w:t>
            </w:r>
          </w:p>
        </w:tc>
        <w:tc>
          <w:tcPr>
            <w:tcW w:type="dxa" w:w="3458"/>
            <w:shd w:fill="17365D"/>
            <w:vAlign w:val="top"/>
            <w:tcMar>
              <w:top w:w="60" w:type="dxa"/>
              <w:start w:w="70" w:type="dxa"/>
              <w:bottom w:w="60" w:type="dxa"/>
              <w:end w:w="70" w:type="dxa"/>
            </w:tcMar>
          </w:tcPr>
          <w:p>
            <w:pPr>
              <w:spacing w:after="40" w:line="240" w:lineRule="auto"/>
              <w:jc w:val="center"/>
            </w:pPr>
            <w:r>
              <w:rPr>
                <w:rFonts w:ascii="Liberation Serif" w:hAnsi="Liberation Serif"/>
                <w:b/>
                <w:color w:val="FFFFFF"/>
                <w:sz w:val="18"/>
              </w:rPr>
              <w:t>Applies To</w:t>
            </w:r>
          </w:p>
        </w:tc>
        <w:tc>
          <w:tcPr>
            <w:tcW w:type="dxa" w:w="3458"/>
            <w:shd w:fill="17365D"/>
            <w:vAlign w:val="top"/>
            <w:tcMar>
              <w:top w:w="60" w:type="dxa"/>
              <w:start w:w="70" w:type="dxa"/>
              <w:bottom w:w="60" w:type="dxa"/>
              <w:end w:w="70" w:type="dxa"/>
            </w:tcMar>
          </w:tcPr>
          <w:p>
            <w:pPr>
              <w:spacing w:after="40" w:line="240" w:lineRule="auto"/>
              <w:jc w:val="center"/>
            </w:pPr>
            <w:r>
              <w:rPr>
                <w:rFonts w:ascii="Liberation Serif" w:hAnsi="Liberation Serif"/>
                <w:b/>
                <w:color w:val="FFFFFF"/>
                <w:sz w:val="18"/>
              </w:rPr>
              <w:t>Purpose</w:t>
            </w:r>
          </w:p>
        </w:tc>
      </w:tr>
      <w:tr>
        <w:tc>
          <w:tcPr>
            <w:tcW w:type="dxa" w:w="3137"/>
            <w:vAlign w:val="top"/>
            <w:tcMar>
              <w:top w:w="60" w:type="dxa"/>
              <w:start w:w="70" w:type="dxa"/>
              <w:bottom w:w="60" w:type="dxa"/>
              <w:end w:w="70" w:type="dxa"/>
            </w:tcMar>
          </w:tcPr>
          <w:p>
            <w:pPr>
              <w:spacing w:after="40" w:line="240" w:lineRule="auto"/>
            </w:pPr>
            <w:r>
              <w:rPr>
                <w:rFonts w:ascii="Liberation Serif" w:hAnsi="Liberation Serif"/>
                <w:color w:val="222222"/>
                <w:sz w:val="17"/>
              </w:rPr>
              <w:t>Deployment</w:t>
            </w:r>
          </w:p>
        </w:tc>
        <w:tc>
          <w:tcPr>
            <w:tcW w:type="dxa" w:w="3137"/>
            <w:vAlign w:val="top"/>
            <w:tcMar>
              <w:top w:w="60" w:type="dxa"/>
              <w:start w:w="70" w:type="dxa"/>
              <w:bottom w:w="60" w:type="dxa"/>
              <w:end w:w="70" w:type="dxa"/>
            </w:tcMar>
          </w:tcPr>
          <w:p>
            <w:pPr>
              <w:spacing w:after="40" w:line="240" w:lineRule="auto"/>
            </w:pPr>
            <w:r>
              <w:rPr>
                <w:rFonts w:ascii="Liberation Serif" w:hAnsi="Liberation Serif"/>
                <w:color w:val="222222"/>
                <w:sz w:val="17"/>
              </w:rPr>
              <w:t>Ingestion, analytics, risk services</w:t>
            </w:r>
          </w:p>
        </w:tc>
        <w:tc>
          <w:tcPr>
            <w:tcW w:type="dxa" w:w="3137"/>
            <w:vAlign w:val="top"/>
            <w:tcMar>
              <w:top w:w="60" w:type="dxa"/>
              <w:start w:w="70" w:type="dxa"/>
              <w:bottom w:w="60" w:type="dxa"/>
              <w:end w:w="70" w:type="dxa"/>
            </w:tcMar>
          </w:tcPr>
          <w:p>
            <w:pPr>
              <w:spacing w:after="40" w:line="240" w:lineRule="auto"/>
            </w:pPr>
            <w:r>
              <w:rPr>
                <w:rFonts w:ascii="Liberation Serif" w:hAnsi="Liberation Serif"/>
                <w:color w:val="222222"/>
                <w:sz w:val="17"/>
              </w:rPr>
              <w:t>Defines replicas and enables rolling updates/restarts.</w:t>
            </w:r>
          </w:p>
        </w:tc>
      </w:tr>
      <w:tr>
        <w:tc>
          <w:tcPr>
            <w:tcW w:type="dxa" w:w="313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Service</w:t>
            </w:r>
          </w:p>
        </w:tc>
        <w:tc>
          <w:tcPr>
            <w:tcW w:type="dxa" w:w="313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API and database access</w:t>
            </w:r>
          </w:p>
        </w:tc>
        <w:tc>
          <w:tcPr>
            <w:tcW w:type="dxa" w:w="313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Provides stable internal/external networking endpoints.</w:t>
            </w:r>
          </w:p>
        </w:tc>
      </w:tr>
      <w:tr>
        <w:tc>
          <w:tcPr>
            <w:tcW w:type="dxa" w:w="3137"/>
            <w:vAlign w:val="top"/>
            <w:tcMar>
              <w:top w:w="60" w:type="dxa"/>
              <w:start w:w="70" w:type="dxa"/>
              <w:bottom w:w="60" w:type="dxa"/>
              <w:end w:w="70" w:type="dxa"/>
            </w:tcMar>
          </w:tcPr>
          <w:p>
            <w:pPr>
              <w:spacing w:after="40" w:line="240" w:lineRule="auto"/>
            </w:pPr>
            <w:r>
              <w:rPr>
                <w:rFonts w:ascii="Liberation Serif" w:hAnsi="Liberation Serif"/>
                <w:color w:val="222222"/>
                <w:sz w:val="17"/>
              </w:rPr>
              <w:t>ConfigMap</w:t>
            </w:r>
          </w:p>
        </w:tc>
        <w:tc>
          <w:tcPr>
            <w:tcW w:type="dxa" w:w="3137"/>
            <w:vAlign w:val="top"/>
            <w:tcMar>
              <w:top w:w="60" w:type="dxa"/>
              <w:start w:w="70" w:type="dxa"/>
              <w:bottom w:w="60" w:type="dxa"/>
              <w:end w:w="70" w:type="dxa"/>
            </w:tcMar>
          </w:tcPr>
          <w:p>
            <w:pPr>
              <w:spacing w:after="40" w:line="240" w:lineRule="auto"/>
            </w:pPr>
            <w:r>
              <w:rPr>
                <w:rFonts w:ascii="Liberation Serif" w:hAnsi="Liberation Serif"/>
                <w:color w:val="222222"/>
                <w:sz w:val="17"/>
              </w:rPr>
              <w:t>Non-sensitive settings</w:t>
            </w:r>
          </w:p>
        </w:tc>
        <w:tc>
          <w:tcPr>
            <w:tcW w:type="dxa" w:w="3137"/>
            <w:vAlign w:val="top"/>
            <w:tcMar>
              <w:top w:w="60" w:type="dxa"/>
              <w:start w:w="70" w:type="dxa"/>
              <w:bottom w:w="60" w:type="dxa"/>
              <w:end w:w="70" w:type="dxa"/>
            </w:tcMar>
          </w:tcPr>
          <w:p>
            <w:pPr>
              <w:spacing w:after="40" w:line="240" w:lineRule="auto"/>
            </w:pPr>
            <w:r>
              <w:rPr>
                <w:rFonts w:ascii="Liberation Serif" w:hAnsi="Liberation Serif"/>
                <w:color w:val="222222"/>
                <w:sz w:val="17"/>
              </w:rPr>
              <w:t>Stores refresh intervals, feature flags, and environment configuration.</w:t>
            </w:r>
          </w:p>
        </w:tc>
      </w:tr>
      <w:tr>
        <w:tc>
          <w:tcPr>
            <w:tcW w:type="dxa" w:w="313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Secret</w:t>
            </w:r>
          </w:p>
        </w:tc>
        <w:tc>
          <w:tcPr>
            <w:tcW w:type="dxa" w:w="313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Database credentials/API secrets</w:t>
            </w:r>
          </w:p>
        </w:tc>
        <w:tc>
          <w:tcPr>
            <w:tcW w:type="dxa" w:w="313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Separates credentials from container images and source code.</w:t>
            </w:r>
          </w:p>
        </w:tc>
      </w:tr>
      <w:tr>
        <w:tc>
          <w:tcPr>
            <w:tcW w:type="dxa" w:w="3137"/>
            <w:vAlign w:val="top"/>
            <w:tcMar>
              <w:top w:w="60" w:type="dxa"/>
              <w:start w:w="70" w:type="dxa"/>
              <w:bottom w:w="60" w:type="dxa"/>
              <w:end w:w="70" w:type="dxa"/>
            </w:tcMar>
          </w:tcPr>
          <w:p>
            <w:pPr>
              <w:spacing w:after="40" w:line="240" w:lineRule="auto"/>
            </w:pPr>
            <w:r>
              <w:rPr>
                <w:rFonts w:ascii="Liberation Serif" w:hAnsi="Liberation Serif"/>
                <w:color w:val="222222"/>
                <w:sz w:val="17"/>
              </w:rPr>
              <w:t>PersistentVolumeClaim</w:t>
            </w:r>
          </w:p>
        </w:tc>
        <w:tc>
          <w:tcPr>
            <w:tcW w:type="dxa" w:w="3137"/>
            <w:vAlign w:val="top"/>
            <w:tcMar>
              <w:top w:w="60" w:type="dxa"/>
              <w:start w:w="70" w:type="dxa"/>
              <w:bottom w:w="60" w:type="dxa"/>
              <w:end w:w="70" w:type="dxa"/>
            </w:tcMar>
          </w:tcPr>
          <w:p>
            <w:pPr>
              <w:spacing w:after="40" w:line="240" w:lineRule="auto"/>
            </w:pPr>
            <w:r>
              <w:rPr>
                <w:rFonts w:ascii="Liberation Serif" w:hAnsi="Liberation Serif"/>
                <w:color w:val="222222"/>
                <w:sz w:val="17"/>
              </w:rPr>
              <w:t>PostgreSQL</w:t>
            </w:r>
          </w:p>
        </w:tc>
        <w:tc>
          <w:tcPr>
            <w:tcW w:type="dxa" w:w="3137"/>
            <w:vAlign w:val="top"/>
            <w:tcMar>
              <w:top w:w="60" w:type="dxa"/>
              <w:start w:w="70" w:type="dxa"/>
              <w:bottom w:w="60" w:type="dxa"/>
              <w:end w:w="70" w:type="dxa"/>
            </w:tcMar>
          </w:tcPr>
          <w:p>
            <w:pPr>
              <w:spacing w:after="40" w:line="240" w:lineRule="auto"/>
            </w:pPr>
            <w:r>
              <w:rPr>
                <w:rFonts w:ascii="Liberation Serif" w:hAnsi="Liberation Serif"/>
                <w:color w:val="222222"/>
                <w:sz w:val="17"/>
              </w:rPr>
              <w:t>Preserves project data across pod restarts.</w:t>
            </w:r>
          </w:p>
        </w:tc>
      </w:tr>
      <w:tr>
        <w:tc>
          <w:tcPr>
            <w:tcW w:type="dxa" w:w="313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Liveness/Readiness Probes</w:t>
            </w:r>
          </w:p>
        </w:tc>
        <w:tc>
          <w:tcPr>
            <w:tcW w:type="dxa" w:w="313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Backend services</w:t>
            </w:r>
          </w:p>
        </w:tc>
        <w:tc>
          <w:tcPr>
            <w:tcW w:type="dxa" w:w="313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Detects failed instances and prevents traffic from reaching unhealthy pods.</w:t>
            </w:r>
          </w:p>
        </w:tc>
      </w:tr>
    </w:tbl>
    <w:p>
      <w:pPr>
        <w:pStyle w:val="Heading2"/>
      </w:pPr>
      <w:r>
        <w:t>6.4 Power BI Dashboard Design</w:t>
      </w:r>
    </w:p>
    <w:p>
      <w:pPr>
        <w:pStyle w:val="ListBullet"/>
        <w:spacing w:after="60"/>
        <w:ind w:left="340"/>
      </w:pPr>
      <w:r>
        <w:rPr>
          <w:rFonts w:ascii="Liberation Serif" w:hAnsi="Liberation Serif"/>
          <w:color w:val="222222"/>
          <w:sz w:val="21"/>
        </w:rPr>
        <w:t>Executive Overview: total budget, actual cost, earned value, overall completion, CPI, SPI, number of high-risk activities, and projects requiring attention.</w:t>
      </w:r>
    </w:p>
    <w:p>
      <w:pPr>
        <w:pStyle w:val="ListBullet"/>
        <w:spacing w:after="60"/>
        <w:ind w:left="340"/>
      </w:pPr>
      <w:r>
        <w:rPr>
          <w:rFonts w:ascii="Liberation Serif" w:hAnsi="Liberation Serif"/>
          <w:color w:val="222222"/>
          <w:sz w:val="21"/>
        </w:rPr>
        <w:t>Cost Performance: budget vs. actual/earned value, cost variance trend, top cost-overrun activities, and project/contractor filters.</w:t>
      </w:r>
    </w:p>
    <w:p>
      <w:pPr>
        <w:pStyle w:val="ListBullet"/>
        <w:spacing w:after="60"/>
        <w:ind w:left="340"/>
      </w:pPr>
      <w:r>
        <w:rPr>
          <w:rFonts w:ascii="Liberation Serif" w:hAnsi="Liberation Serif"/>
          <w:color w:val="222222"/>
          <w:sz w:val="21"/>
        </w:rPr>
        <w:t>Schedule Performance: planned vs. actual progress, schedule variance, SPI trend, delayed activities, critical/high-risk activity list, and milestone status.</w:t>
      </w:r>
    </w:p>
    <w:p>
      <w:pPr>
        <w:pStyle w:val="ListBullet"/>
        <w:spacing w:after="60"/>
        <w:ind w:left="340"/>
      </w:pPr>
      <w:r>
        <w:rPr>
          <w:rFonts w:ascii="Liberation Serif" w:hAnsi="Liberation Serif"/>
          <w:color w:val="222222"/>
          <w:sz w:val="21"/>
        </w:rPr>
        <w:t>Delay-Risk View: risk probability/score, risk category, main contributing features, and time trend for early-warning monitoring.</w:t>
      </w:r>
    </w:p>
    <w:p>
      <w:pPr>
        <w:pStyle w:val="ListBullet"/>
        <w:spacing w:after="60"/>
        <w:ind w:left="340"/>
      </w:pPr>
      <w:r>
        <w:rPr>
          <w:rFonts w:ascii="Liberation Serif" w:hAnsi="Liberation Serif"/>
          <w:color w:val="222222"/>
          <w:sz w:val="21"/>
        </w:rPr>
        <w:t>Operational Health (project demonstration): timestamp of last update, number of processed records, and backend service status/refresh information where available.</w:t>
      </w:r>
    </w:p>
    <w:p>
      <w:pPr>
        <w:pStyle w:val="Heading2"/>
      </w:pPr>
      <w:r>
        <w:t>6.5 Proposed Data Model</w:t>
      </w:r>
    </w:p>
    <w:p>
      <w:pPr>
        <w:spacing w:after="120" w:line="269" w:lineRule="auto"/>
        <w:jc w:val="both"/>
      </w:pPr>
      <w:r>
        <w:rPr>
          <w:rFonts w:ascii="Liberation Serif" w:hAnsi="Liberation Serif"/>
          <w:i w:val="0"/>
          <w:color w:val="222222"/>
          <w:sz w:val="21"/>
        </w:rPr>
        <w:t>A relational design keeps the Power BI model simple while retaining historical records. The minimum entities are Project, Activity, ProgressUpdate, CostRecord, ResourceRecord, KPIResult, and RiskResult. Project and Activity hold stable master data; ProgressUpdate and CostRecord are append-only time-series facts; KPIResult and RiskResult store computed outputs with timestamps. This structure directly addresses the data-centralization and compatibility problems emphasized in the literature [3,4,6].</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154"/>
            <w:shd w:fill="17365D"/>
            <w:vAlign w:val="top"/>
            <w:tcMar>
              <w:top w:w="60" w:type="dxa"/>
              <w:start w:w="70" w:type="dxa"/>
              <w:bottom w:w="60" w:type="dxa"/>
              <w:end w:w="70" w:type="dxa"/>
            </w:tcMar>
          </w:tcPr>
          <w:p>
            <w:pPr>
              <w:spacing w:after="40" w:line="240" w:lineRule="auto"/>
            </w:pPr>
            <w:r>
              <w:rPr>
                <w:rFonts w:ascii="Liberation Serif" w:hAnsi="Liberation Serif"/>
                <w:b/>
                <w:color w:val="FFFFFF"/>
                <w:sz w:val="18"/>
              </w:rPr>
              <w:t>Entity</w:t>
            </w:r>
          </w:p>
        </w:tc>
        <w:tc>
          <w:tcPr>
            <w:tcW w:type="dxa" w:w="3061"/>
            <w:shd w:fill="17365D"/>
            <w:vAlign w:val="top"/>
            <w:tcMar>
              <w:top w:w="60" w:type="dxa"/>
              <w:start w:w="70" w:type="dxa"/>
              <w:bottom w:w="60" w:type="dxa"/>
              <w:end w:w="70" w:type="dxa"/>
            </w:tcMar>
          </w:tcPr>
          <w:p>
            <w:pPr>
              <w:spacing w:after="40" w:line="240" w:lineRule="auto"/>
            </w:pPr>
            <w:r>
              <w:rPr>
                <w:rFonts w:ascii="Liberation Serif" w:hAnsi="Liberation Serif"/>
                <w:b/>
                <w:color w:val="FFFFFF"/>
                <w:sz w:val="18"/>
              </w:rPr>
              <w:t>Example Fields</w:t>
            </w:r>
          </w:p>
        </w:tc>
        <w:tc>
          <w:tcPr>
            <w:tcW w:type="dxa" w:w="4195"/>
            <w:shd w:fill="17365D"/>
            <w:vAlign w:val="top"/>
            <w:tcMar>
              <w:top w:w="60" w:type="dxa"/>
              <w:start w:w="70" w:type="dxa"/>
              <w:bottom w:w="60" w:type="dxa"/>
              <w:end w:w="70" w:type="dxa"/>
            </w:tcMar>
          </w:tcPr>
          <w:p>
            <w:pPr>
              <w:spacing w:after="40" w:line="240" w:lineRule="auto"/>
            </w:pPr>
            <w:r>
              <w:rPr>
                <w:rFonts w:ascii="Liberation Serif" w:hAnsi="Liberation Serif"/>
                <w:b/>
                <w:color w:val="FFFFFF"/>
                <w:sz w:val="18"/>
              </w:rPr>
              <w:t>Purpose</w:t>
            </w:r>
          </w:p>
        </w:tc>
      </w:tr>
      <w:tr>
        <w:tc>
          <w:tcPr>
            <w:tcW w:type="dxa" w:w="2154"/>
            <w:vAlign w:val="top"/>
            <w:tcMar>
              <w:top w:w="60" w:type="dxa"/>
              <w:start w:w="70" w:type="dxa"/>
              <w:bottom w:w="60" w:type="dxa"/>
              <w:end w:w="70" w:type="dxa"/>
            </w:tcMar>
          </w:tcPr>
          <w:p>
            <w:pPr>
              <w:spacing w:after="40" w:line="240" w:lineRule="auto"/>
            </w:pPr>
            <w:r>
              <w:rPr>
                <w:rFonts w:ascii="Liberation Serif" w:hAnsi="Liberation Serif"/>
                <w:color w:val="222222"/>
                <w:sz w:val="17"/>
              </w:rPr>
              <w:t>Project</w:t>
            </w:r>
          </w:p>
        </w:tc>
        <w:tc>
          <w:tcPr>
            <w:tcW w:type="dxa" w:w="3061"/>
            <w:vAlign w:val="top"/>
            <w:tcMar>
              <w:top w:w="60" w:type="dxa"/>
              <w:start w:w="70" w:type="dxa"/>
              <w:bottom w:w="60" w:type="dxa"/>
              <w:end w:w="70" w:type="dxa"/>
            </w:tcMar>
          </w:tcPr>
          <w:p>
            <w:pPr>
              <w:spacing w:after="40" w:line="240" w:lineRule="auto"/>
            </w:pPr>
            <w:r>
              <w:rPr>
                <w:rFonts w:ascii="Liberation Serif" w:hAnsi="Liberation Serif"/>
                <w:color w:val="222222"/>
                <w:sz w:val="17"/>
              </w:rPr>
              <w:t>project_id, name, baseline_start, baseline_finish, budget</w:t>
            </w:r>
          </w:p>
        </w:tc>
        <w:tc>
          <w:tcPr>
            <w:tcW w:type="dxa" w:w="4195"/>
            <w:vAlign w:val="top"/>
            <w:tcMar>
              <w:top w:w="60" w:type="dxa"/>
              <w:start w:w="70" w:type="dxa"/>
              <w:bottom w:w="60" w:type="dxa"/>
              <w:end w:w="70" w:type="dxa"/>
            </w:tcMar>
          </w:tcPr>
          <w:p>
            <w:pPr>
              <w:spacing w:after="40" w:line="240" w:lineRule="auto"/>
            </w:pPr>
            <w:r>
              <w:rPr>
                <w:rFonts w:ascii="Liberation Serif" w:hAnsi="Liberation Serif"/>
                <w:color w:val="222222"/>
                <w:sz w:val="17"/>
              </w:rPr>
              <w:t>Project-level master record.</w:t>
            </w:r>
          </w:p>
        </w:tc>
      </w:tr>
      <w:tr>
        <w:tc>
          <w:tcPr>
            <w:tcW w:type="dxa" w:w="2154"/>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Activity</w:t>
            </w:r>
          </w:p>
        </w:tc>
        <w:tc>
          <w:tcPr>
            <w:tcW w:type="dxa" w:w="3061"/>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activity_id, project_id, planned_start/finish, planned_cost</w:t>
            </w:r>
          </w:p>
        </w:tc>
        <w:tc>
          <w:tcPr>
            <w:tcW w:type="dxa" w:w="4195"/>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Schedule work package / task.</w:t>
            </w:r>
          </w:p>
        </w:tc>
      </w:tr>
      <w:tr>
        <w:tc>
          <w:tcPr>
            <w:tcW w:type="dxa" w:w="2154"/>
            <w:vAlign w:val="top"/>
            <w:tcMar>
              <w:top w:w="60" w:type="dxa"/>
              <w:start w:w="70" w:type="dxa"/>
              <w:bottom w:w="60" w:type="dxa"/>
              <w:end w:w="70" w:type="dxa"/>
            </w:tcMar>
          </w:tcPr>
          <w:p>
            <w:pPr>
              <w:spacing w:after="40" w:line="240" w:lineRule="auto"/>
            </w:pPr>
            <w:r>
              <w:rPr>
                <w:rFonts w:ascii="Liberation Serif" w:hAnsi="Liberation Serif"/>
                <w:color w:val="222222"/>
                <w:sz w:val="17"/>
              </w:rPr>
              <w:t>ProgressUpdate</w:t>
            </w:r>
          </w:p>
        </w:tc>
        <w:tc>
          <w:tcPr>
            <w:tcW w:type="dxa" w:w="3061"/>
            <w:vAlign w:val="top"/>
            <w:tcMar>
              <w:top w:w="60" w:type="dxa"/>
              <w:start w:w="70" w:type="dxa"/>
              <w:bottom w:w="60" w:type="dxa"/>
              <w:end w:w="70" w:type="dxa"/>
            </w:tcMar>
          </w:tcPr>
          <w:p>
            <w:pPr>
              <w:spacing w:after="40" w:line="240" w:lineRule="auto"/>
            </w:pPr>
            <w:r>
              <w:rPr>
                <w:rFonts w:ascii="Liberation Serif" w:hAnsi="Liberation Serif"/>
                <w:color w:val="222222"/>
                <w:sz w:val="17"/>
              </w:rPr>
              <w:t>activity_id, timestamp, actual_progress, actual_start/finish</w:t>
            </w:r>
          </w:p>
        </w:tc>
        <w:tc>
          <w:tcPr>
            <w:tcW w:type="dxa" w:w="4195"/>
            <w:vAlign w:val="top"/>
            <w:tcMar>
              <w:top w:w="60" w:type="dxa"/>
              <w:start w:w="70" w:type="dxa"/>
              <w:bottom w:w="60" w:type="dxa"/>
              <w:end w:w="70" w:type="dxa"/>
            </w:tcMar>
          </w:tcPr>
          <w:p>
            <w:pPr>
              <w:spacing w:after="40" w:line="240" w:lineRule="auto"/>
            </w:pPr>
            <w:r>
              <w:rPr>
                <w:rFonts w:ascii="Liberation Serif" w:hAnsi="Liberation Serif"/>
                <w:color w:val="222222"/>
                <w:sz w:val="17"/>
              </w:rPr>
              <w:t>Historical site/progress updates.</w:t>
            </w:r>
          </w:p>
        </w:tc>
      </w:tr>
      <w:tr>
        <w:tc>
          <w:tcPr>
            <w:tcW w:type="dxa" w:w="2154"/>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CostRecord</w:t>
            </w:r>
          </w:p>
        </w:tc>
        <w:tc>
          <w:tcPr>
            <w:tcW w:type="dxa" w:w="3061"/>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activity_id, timestamp, actual_cost, earned_value</w:t>
            </w:r>
          </w:p>
        </w:tc>
        <w:tc>
          <w:tcPr>
            <w:tcW w:type="dxa" w:w="4195"/>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Cost and earned-value facts.</w:t>
            </w:r>
          </w:p>
        </w:tc>
      </w:tr>
      <w:tr>
        <w:tc>
          <w:tcPr>
            <w:tcW w:type="dxa" w:w="2154"/>
            <w:vAlign w:val="top"/>
            <w:tcMar>
              <w:top w:w="60" w:type="dxa"/>
              <w:start w:w="70" w:type="dxa"/>
              <w:bottom w:w="60" w:type="dxa"/>
              <w:end w:w="70" w:type="dxa"/>
            </w:tcMar>
          </w:tcPr>
          <w:p>
            <w:pPr>
              <w:spacing w:after="40" w:line="240" w:lineRule="auto"/>
            </w:pPr>
            <w:r>
              <w:rPr>
                <w:rFonts w:ascii="Liberation Serif" w:hAnsi="Liberation Serif"/>
                <w:color w:val="222222"/>
                <w:sz w:val="17"/>
              </w:rPr>
              <w:t>KPIResult</w:t>
            </w:r>
          </w:p>
        </w:tc>
        <w:tc>
          <w:tcPr>
            <w:tcW w:type="dxa" w:w="3061"/>
            <w:vAlign w:val="top"/>
            <w:tcMar>
              <w:top w:w="60" w:type="dxa"/>
              <w:start w:w="70" w:type="dxa"/>
              <w:bottom w:w="60" w:type="dxa"/>
              <w:end w:w="70" w:type="dxa"/>
            </w:tcMar>
          </w:tcPr>
          <w:p>
            <w:pPr>
              <w:spacing w:after="40" w:line="240" w:lineRule="auto"/>
            </w:pPr>
            <w:r>
              <w:rPr>
                <w:rFonts w:ascii="Liberation Serif" w:hAnsi="Liberation Serif"/>
                <w:color w:val="222222"/>
                <w:sz w:val="17"/>
              </w:rPr>
              <w:t>timestamp, CV, SV, CPI, SPI, progress_variance</w:t>
            </w:r>
          </w:p>
        </w:tc>
        <w:tc>
          <w:tcPr>
            <w:tcW w:type="dxa" w:w="4195"/>
            <w:vAlign w:val="top"/>
            <w:tcMar>
              <w:top w:w="60" w:type="dxa"/>
              <w:start w:w="70" w:type="dxa"/>
              <w:bottom w:w="60" w:type="dxa"/>
              <w:end w:w="70" w:type="dxa"/>
            </w:tcMar>
          </w:tcPr>
          <w:p>
            <w:pPr>
              <w:spacing w:after="40" w:line="240" w:lineRule="auto"/>
            </w:pPr>
            <w:r>
              <w:rPr>
                <w:rFonts w:ascii="Liberation Serif" w:hAnsi="Liberation Serif"/>
                <w:color w:val="222222"/>
                <w:sz w:val="17"/>
              </w:rPr>
              <w:t>Reporting-ready project-control indicators.</w:t>
            </w:r>
          </w:p>
        </w:tc>
      </w:tr>
      <w:tr>
        <w:tc>
          <w:tcPr>
            <w:tcW w:type="dxa" w:w="2154"/>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RiskResult</w:t>
            </w:r>
          </w:p>
        </w:tc>
        <w:tc>
          <w:tcPr>
            <w:tcW w:type="dxa" w:w="3061"/>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timestamp, risk_score, risk_class, top_factors</w:t>
            </w:r>
          </w:p>
        </w:tc>
        <w:tc>
          <w:tcPr>
            <w:tcW w:type="dxa" w:w="4195"/>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Predictive/early-warning output for Power BI.</w:t>
            </w:r>
          </w:p>
        </w:tc>
      </w:tr>
    </w:tbl>
    <w:p>
      <w:pPr>
        <w:pStyle w:val="Heading2"/>
      </w:pPr>
      <w:r>
        <w:t>6.6 Evaluation Plan</w:t>
      </w:r>
    </w:p>
    <w:p>
      <w:pPr>
        <w:spacing w:after="120" w:line="269" w:lineRule="auto"/>
        <w:jc w:val="both"/>
      </w:pPr>
      <w:r>
        <w:rPr>
          <w:rFonts w:ascii="Liberation Serif" w:hAnsi="Liberation Serif"/>
          <w:i w:val="0"/>
          <w:color w:val="222222"/>
          <w:sz w:val="21"/>
        </w:rPr>
        <w:t>The project should be evaluated not only as a dashboard but also as a deployable system. This provides a measurable contribution aligned with the identified gap.</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267"/>
            <w:shd w:fill="17365D"/>
            <w:vAlign w:val="top"/>
            <w:tcMar>
              <w:top w:w="60" w:type="dxa"/>
              <w:start w:w="70" w:type="dxa"/>
              <w:bottom w:w="60" w:type="dxa"/>
              <w:end w:w="70" w:type="dxa"/>
            </w:tcMar>
          </w:tcPr>
          <w:p>
            <w:pPr>
              <w:spacing w:after="40" w:line="240" w:lineRule="auto"/>
            </w:pPr>
            <w:r>
              <w:rPr>
                <w:rFonts w:ascii="Liberation Serif" w:hAnsi="Liberation Serif"/>
                <w:b/>
                <w:color w:val="FFFFFF"/>
                <w:sz w:val="18"/>
              </w:rPr>
              <w:t>Evaluation Area</w:t>
            </w:r>
          </w:p>
        </w:tc>
        <w:tc>
          <w:tcPr>
            <w:tcW w:type="dxa" w:w="3401"/>
            <w:shd w:fill="17365D"/>
            <w:vAlign w:val="top"/>
            <w:tcMar>
              <w:top w:w="60" w:type="dxa"/>
              <w:start w:w="70" w:type="dxa"/>
              <w:bottom w:w="60" w:type="dxa"/>
              <w:end w:w="70" w:type="dxa"/>
            </w:tcMar>
          </w:tcPr>
          <w:p>
            <w:pPr>
              <w:spacing w:after="40" w:line="240" w:lineRule="auto"/>
            </w:pPr>
            <w:r>
              <w:rPr>
                <w:rFonts w:ascii="Liberation Serif" w:hAnsi="Liberation Serif"/>
                <w:b/>
                <w:color w:val="FFFFFF"/>
                <w:sz w:val="18"/>
              </w:rPr>
              <w:t>Example Measure</w:t>
            </w:r>
          </w:p>
        </w:tc>
        <w:tc>
          <w:tcPr>
            <w:tcW w:type="dxa" w:w="3741"/>
            <w:shd w:fill="17365D"/>
            <w:vAlign w:val="top"/>
            <w:tcMar>
              <w:top w:w="60" w:type="dxa"/>
              <w:start w:w="70" w:type="dxa"/>
              <w:bottom w:w="60" w:type="dxa"/>
              <w:end w:w="70" w:type="dxa"/>
            </w:tcMar>
          </w:tcPr>
          <w:p>
            <w:pPr>
              <w:spacing w:after="40" w:line="240" w:lineRule="auto"/>
            </w:pPr>
            <w:r>
              <w:rPr>
                <w:rFonts w:ascii="Liberation Serif" w:hAnsi="Liberation Serif"/>
                <w:b/>
                <w:color w:val="FFFFFF"/>
                <w:sz w:val="18"/>
              </w:rPr>
              <w:t>Expected Evidence</w:t>
            </w:r>
          </w:p>
        </w:tc>
      </w:tr>
      <w:tr>
        <w:tc>
          <w:tcPr>
            <w:tcW w:type="dxa" w:w="2267"/>
            <w:vAlign w:val="top"/>
            <w:tcMar>
              <w:top w:w="60" w:type="dxa"/>
              <w:start w:w="70" w:type="dxa"/>
              <w:bottom w:w="60" w:type="dxa"/>
              <w:end w:w="70" w:type="dxa"/>
            </w:tcMar>
          </w:tcPr>
          <w:p>
            <w:pPr>
              <w:spacing w:after="40" w:line="240" w:lineRule="auto"/>
            </w:pPr>
            <w:r>
              <w:rPr>
                <w:rFonts w:ascii="Liberation Serif" w:hAnsi="Liberation Serif"/>
                <w:color w:val="222222"/>
                <w:sz w:val="17"/>
              </w:rPr>
              <w:t>Analytical correctness</w:t>
            </w:r>
          </w:p>
        </w:tc>
        <w:tc>
          <w:tcPr>
            <w:tcW w:type="dxa" w:w="3401"/>
            <w:vAlign w:val="top"/>
            <w:tcMar>
              <w:top w:w="60" w:type="dxa"/>
              <w:start w:w="70" w:type="dxa"/>
              <w:bottom w:w="60" w:type="dxa"/>
              <w:end w:w="70" w:type="dxa"/>
            </w:tcMar>
          </w:tcPr>
          <w:p>
            <w:pPr>
              <w:spacing w:after="40" w:line="240" w:lineRule="auto"/>
            </w:pPr>
            <w:r>
              <w:rPr>
                <w:rFonts w:ascii="Liberation Serif" w:hAnsi="Liberation Serif"/>
                <w:color w:val="222222"/>
                <w:sz w:val="17"/>
              </w:rPr>
              <w:t>Verify CV, SV, CPI, SPI and progress variance against hand-calculated test cases.</w:t>
            </w:r>
          </w:p>
        </w:tc>
        <w:tc>
          <w:tcPr>
            <w:tcW w:type="dxa" w:w="3741"/>
            <w:vAlign w:val="top"/>
            <w:tcMar>
              <w:top w:w="60" w:type="dxa"/>
              <w:start w:w="70" w:type="dxa"/>
              <w:bottom w:w="60" w:type="dxa"/>
              <w:end w:w="70" w:type="dxa"/>
            </w:tcMar>
          </w:tcPr>
          <w:p>
            <w:pPr>
              <w:spacing w:after="40" w:line="240" w:lineRule="auto"/>
            </w:pPr>
            <w:r>
              <w:rPr>
                <w:rFonts w:ascii="Liberation Serif" w:hAnsi="Liberation Serif"/>
                <w:color w:val="222222"/>
                <w:sz w:val="17"/>
              </w:rPr>
              <w:t>Unit-test results and comparison table.</w:t>
            </w:r>
          </w:p>
        </w:tc>
      </w:tr>
      <w:tr>
        <w:tc>
          <w:tcPr>
            <w:tcW w:type="dxa" w:w="226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Delay-risk model</w:t>
            </w:r>
          </w:p>
        </w:tc>
        <w:tc>
          <w:tcPr>
            <w:tcW w:type="dxa" w:w="3401"/>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Use accuracy/F1/AUC for classification, or MAE/RMSE if predicting delay days.</w:t>
            </w:r>
          </w:p>
        </w:tc>
        <w:tc>
          <w:tcPr>
            <w:tcW w:type="dxa" w:w="3741"/>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Train/test evaluation on public or carefully simulated data.</w:t>
            </w:r>
          </w:p>
        </w:tc>
      </w:tr>
      <w:tr>
        <w:tc>
          <w:tcPr>
            <w:tcW w:type="dxa" w:w="2267"/>
            <w:vAlign w:val="top"/>
            <w:tcMar>
              <w:top w:w="60" w:type="dxa"/>
              <w:start w:w="70" w:type="dxa"/>
              <w:bottom w:w="60" w:type="dxa"/>
              <w:end w:w="70" w:type="dxa"/>
            </w:tcMar>
          </w:tcPr>
          <w:p>
            <w:pPr>
              <w:spacing w:after="40" w:line="240" w:lineRule="auto"/>
            </w:pPr>
            <w:r>
              <w:rPr>
                <w:rFonts w:ascii="Liberation Serif" w:hAnsi="Liberation Serif"/>
                <w:color w:val="222222"/>
                <w:sz w:val="17"/>
              </w:rPr>
              <w:t>Data pipeline</w:t>
            </w:r>
          </w:p>
        </w:tc>
        <w:tc>
          <w:tcPr>
            <w:tcW w:type="dxa" w:w="3401"/>
            <w:vAlign w:val="top"/>
            <w:tcMar>
              <w:top w:w="60" w:type="dxa"/>
              <w:start w:w="70" w:type="dxa"/>
              <w:bottom w:w="60" w:type="dxa"/>
              <w:end w:w="70" w:type="dxa"/>
            </w:tcMar>
          </w:tcPr>
          <w:p>
            <w:pPr>
              <w:spacing w:after="40" w:line="240" w:lineRule="auto"/>
            </w:pPr>
            <w:r>
              <w:rPr>
                <w:rFonts w:ascii="Liberation Serif" w:hAnsi="Liberation Serif"/>
                <w:color w:val="222222"/>
                <w:sz w:val="17"/>
              </w:rPr>
              <w:t>Invalid rows rejected; valid rows appear in database and dashboard within defined refresh interval.</w:t>
            </w:r>
          </w:p>
        </w:tc>
        <w:tc>
          <w:tcPr>
            <w:tcW w:type="dxa" w:w="3741"/>
            <w:vAlign w:val="top"/>
            <w:tcMar>
              <w:top w:w="60" w:type="dxa"/>
              <w:start w:w="70" w:type="dxa"/>
              <w:bottom w:w="60" w:type="dxa"/>
              <w:end w:w="70" w:type="dxa"/>
            </w:tcMar>
          </w:tcPr>
          <w:p>
            <w:pPr>
              <w:spacing w:after="40" w:line="240" w:lineRule="auto"/>
            </w:pPr>
            <w:r>
              <w:rPr>
                <w:rFonts w:ascii="Liberation Serif" w:hAnsi="Liberation Serif"/>
                <w:color w:val="222222"/>
                <w:sz w:val="17"/>
              </w:rPr>
              <w:t>Integration tests and timestamp logs.</w:t>
            </w:r>
          </w:p>
        </w:tc>
      </w:tr>
      <w:tr>
        <w:tc>
          <w:tcPr>
            <w:tcW w:type="dxa" w:w="226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Kubernetes resilience</w:t>
            </w:r>
          </w:p>
        </w:tc>
        <w:tc>
          <w:tcPr>
            <w:tcW w:type="dxa" w:w="3401"/>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Delete an API pod and observe recovery; verify that the Service remains available.</w:t>
            </w:r>
          </w:p>
        </w:tc>
        <w:tc>
          <w:tcPr>
            <w:tcW w:type="dxa" w:w="3741"/>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Pod restart/recovery screenshots or logs.</w:t>
            </w:r>
          </w:p>
        </w:tc>
      </w:tr>
      <w:tr>
        <w:tc>
          <w:tcPr>
            <w:tcW w:type="dxa" w:w="2267"/>
            <w:vAlign w:val="top"/>
            <w:tcMar>
              <w:top w:w="60" w:type="dxa"/>
              <w:start w:w="70" w:type="dxa"/>
              <w:bottom w:w="60" w:type="dxa"/>
              <w:end w:w="70" w:type="dxa"/>
            </w:tcMar>
          </w:tcPr>
          <w:p>
            <w:pPr>
              <w:spacing w:after="40" w:line="240" w:lineRule="auto"/>
            </w:pPr>
            <w:r>
              <w:rPr>
                <w:rFonts w:ascii="Liberation Serif" w:hAnsi="Liberation Serif"/>
                <w:color w:val="222222"/>
                <w:sz w:val="17"/>
              </w:rPr>
              <w:t>Scalability</w:t>
            </w:r>
          </w:p>
        </w:tc>
        <w:tc>
          <w:tcPr>
            <w:tcW w:type="dxa" w:w="3401"/>
            <w:vAlign w:val="top"/>
            <w:tcMar>
              <w:top w:w="60" w:type="dxa"/>
              <w:start w:w="70" w:type="dxa"/>
              <w:bottom w:w="60" w:type="dxa"/>
              <w:end w:w="70" w:type="dxa"/>
            </w:tcMar>
          </w:tcPr>
          <w:p>
            <w:pPr>
              <w:spacing w:after="40" w:line="240" w:lineRule="auto"/>
            </w:pPr>
            <w:r>
              <w:rPr>
                <w:rFonts w:ascii="Liberation Serif" w:hAnsi="Liberation Serif"/>
                <w:color w:val="222222"/>
                <w:sz w:val="17"/>
              </w:rPr>
              <w:t>Compare API response time or throughput with one vs. multiple replicas.</w:t>
            </w:r>
          </w:p>
        </w:tc>
        <w:tc>
          <w:tcPr>
            <w:tcW w:type="dxa" w:w="3741"/>
            <w:vAlign w:val="top"/>
            <w:tcMar>
              <w:top w:w="60" w:type="dxa"/>
              <w:start w:w="70" w:type="dxa"/>
              <w:bottom w:w="60" w:type="dxa"/>
              <w:end w:w="70" w:type="dxa"/>
            </w:tcMar>
          </w:tcPr>
          <w:p>
            <w:pPr>
              <w:spacing w:after="40" w:line="240" w:lineRule="auto"/>
            </w:pPr>
            <w:r>
              <w:rPr>
                <w:rFonts w:ascii="Liberation Serif" w:hAnsi="Liberation Serif"/>
                <w:color w:val="222222"/>
                <w:sz w:val="17"/>
              </w:rPr>
              <w:t>Small load-test table/graph.</w:t>
            </w:r>
          </w:p>
        </w:tc>
      </w:tr>
      <w:tr>
        <w:tc>
          <w:tcPr>
            <w:tcW w:type="dxa" w:w="2267"/>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Power BI usefulness</w:t>
            </w:r>
          </w:p>
        </w:tc>
        <w:tc>
          <w:tcPr>
            <w:tcW w:type="dxa" w:w="3401"/>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Check whether users can identify over-budget, behind-schedule, and high-risk items using drill-down views.</w:t>
            </w:r>
          </w:p>
        </w:tc>
        <w:tc>
          <w:tcPr>
            <w:tcW w:type="dxa" w:w="3741"/>
            <w:shd w:fill="EEF4F9"/>
            <w:vAlign w:val="top"/>
            <w:tcMar>
              <w:top w:w="60" w:type="dxa"/>
              <w:start w:w="70" w:type="dxa"/>
              <w:bottom w:w="60" w:type="dxa"/>
              <w:end w:w="70" w:type="dxa"/>
            </w:tcMar>
          </w:tcPr>
          <w:p>
            <w:pPr>
              <w:spacing w:after="40" w:line="240" w:lineRule="auto"/>
            </w:pPr>
            <w:r>
              <w:rPr>
                <w:rFonts w:ascii="Liberation Serif" w:hAnsi="Liberation Serif"/>
                <w:color w:val="222222"/>
                <w:sz w:val="17"/>
              </w:rPr>
              <w:t>Scenario-based dashboard demonstration or small user feedback study.</w:t>
            </w:r>
          </w:p>
        </w:tc>
      </w:tr>
    </w:tbl>
    <w:p>
      <w:pPr>
        <w:pStyle w:val="Heading1"/>
      </w:pPr>
      <w:r>
        <w:t>7. References</w:t>
      </w:r>
    </w:p>
    <w:p>
      <w:pPr>
        <w:spacing w:after="100"/>
        <w:ind w:left="340" w:hanging="340"/>
        <w:jc w:val="both"/>
      </w:pPr>
      <w:r>
        <w:rPr>
          <w:rFonts w:ascii="Liberation Serif" w:hAnsi="Liberation Serif"/>
          <w:color w:val="222222"/>
          <w:sz w:val="19"/>
        </w:rPr>
        <w:t xml:space="preserve">[1] C.-Y. Chiu and A. D. Russell, “Design of a construction management data visualization environment: A top-down approach,” Automation in Construction, vol. 20, no. 4, pp. 399–417, 2011. DOI: 10.1016/j.autcon.2010.11.010. </w:t>
      </w:r>
      <w:hyperlink r:id="rId10">
        <w:r>
          <w:rPr>
            <w:color w:val="0563C1"/>
            <w:u w:val="single"/>
            <w:rFonts w:ascii="Liberation Serif" w:hAnsi="Liberation Serif"/>
          </w:rPr>
          <w:t>Source</w:t>
        </w:r>
      </w:hyperlink>
    </w:p>
    <w:p>
      <w:pPr>
        <w:spacing w:after="100"/>
        <w:ind w:left="340" w:hanging="340"/>
        <w:jc w:val="both"/>
      </w:pPr>
      <w:r>
        <w:rPr>
          <w:rFonts w:ascii="Liberation Serif" w:hAnsi="Liberation Serif"/>
          <w:color w:val="222222"/>
          <w:sz w:val="19"/>
        </w:rPr>
        <w:t xml:space="preserve">[2] A. Al-Sulaiti, M. Mansour, H. Al-Yafei, S. Aseel, M. Kucukvar, and N. C. Onat, “Using Data Analytics and Visualization Dashboard for Engineering, Procurement, and Construction Project’s Performance Assessment,” 2021 IEEE 8th International Conference on Industrial Engineering and Applications (ICIEA), pp. 207–211, 2021. DOI: 10.1109/ICIEA52957.2021.9436728. </w:t>
      </w:r>
      <w:hyperlink r:id="rId11">
        <w:r>
          <w:rPr>
            <w:color w:val="0563C1"/>
            <w:u w:val="single"/>
            <w:rFonts w:ascii="Liberation Serif" w:hAnsi="Liberation Serif"/>
          </w:rPr>
          <w:t>Source</w:t>
        </w:r>
      </w:hyperlink>
    </w:p>
    <w:p>
      <w:pPr>
        <w:spacing w:after="100"/>
        <w:ind w:left="340" w:hanging="340"/>
        <w:jc w:val="both"/>
      </w:pPr>
      <w:r>
        <w:rPr>
          <w:rFonts w:ascii="Liberation Serif" w:hAnsi="Liberation Serif"/>
          <w:color w:val="222222"/>
          <w:sz w:val="19"/>
        </w:rPr>
        <w:t xml:space="preserve">[3] K. Radman, M. B. Jelodar, R. Lovreglio, E. Ghazizadeh, and S. Wilkinson, “Digital technologies and data-driven delay management process for construction projects,” Frontiers in Built Environment, vol. 8, 1029586, 2022. DOI: 10.3389/fbuil.2022.1029586. </w:t>
      </w:r>
      <w:hyperlink r:id="rId12">
        <w:r>
          <w:rPr>
            <w:color w:val="0563C1"/>
            <w:u w:val="single"/>
            <w:rFonts w:ascii="Liberation Serif" w:hAnsi="Liberation Serif"/>
          </w:rPr>
          <w:t>Source</w:t>
        </w:r>
      </w:hyperlink>
    </w:p>
    <w:p>
      <w:pPr>
        <w:spacing w:after="100"/>
        <w:ind w:left="340" w:hanging="340"/>
        <w:jc w:val="both"/>
      </w:pPr>
      <w:r>
        <w:rPr>
          <w:rFonts w:ascii="Liberation Serif" w:hAnsi="Liberation Serif"/>
          <w:color w:val="222222"/>
          <w:sz w:val="19"/>
        </w:rPr>
        <w:t xml:space="preserve">[4] R. Gajera, “Integrating Power BI with Project Control Systems: Enhancing Real-Time Cost Tracking and Visualization in Construction,” International Journal of Scientific Research in Civil Engineering, vol. 7, no. 5, pp. 154–160, 2023. DOI: 10.32628/IJSRCE123761. </w:t>
      </w:r>
      <w:hyperlink r:id="rId13">
        <w:r>
          <w:rPr>
            <w:color w:val="0563C1"/>
            <w:u w:val="single"/>
            <w:rFonts w:ascii="Liberation Serif" w:hAnsi="Liberation Serif"/>
          </w:rPr>
          <w:t>Source</w:t>
        </w:r>
      </w:hyperlink>
    </w:p>
    <w:p>
      <w:pPr>
        <w:spacing w:after="100"/>
        <w:ind w:left="340" w:hanging="340"/>
        <w:jc w:val="both"/>
      </w:pPr>
      <w:r>
        <w:rPr>
          <w:rFonts w:ascii="Liberation Serif" w:hAnsi="Liberation Serif"/>
          <w:color w:val="222222"/>
          <w:sz w:val="19"/>
        </w:rPr>
        <w:t xml:space="preserve">[5] S. Zhang and X. Wang, “Quantifying Schedule Delay Risk in Construction Projects: A Data-Driven Approach with BIM and Probabilistic Reliability Analysis,” Advances in Civil Engineering, vol. 2023, Article ID 5525655, 2023. DOI: 10.1155/2023/5525655. </w:t>
      </w:r>
      <w:hyperlink r:id="rId14">
        <w:r>
          <w:rPr>
            <w:color w:val="0563C1"/>
            <w:u w:val="single"/>
            <w:rFonts w:ascii="Liberation Serif" w:hAnsi="Liberation Serif"/>
          </w:rPr>
          <w:t>Source</w:t>
        </w:r>
      </w:hyperlink>
    </w:p>
    <w:p>
      <w:pPr>
        <w:spacing w:after="100"/>
        <w:ind w:left="340" w:hanging="340"/>
        <w:jc w:val="both"/>
      </w:pPr>
      <w:r>
        <w:rPr>
          <w:rFonts w:ascii="Liberation Serif" w:hAnsi="Liberation Serif"/>
          <w:color w:val="222222"/>
          <w:sz w:val="19"/>
        </w:rPr>
        <w:t xml:space="preserve">[6] B. O. Sanusi, “The Role of Data-Driven Decision-Making in Reducing Project Delays and Cost Overruns in Civil Engineering Projects,” SAMRIDDHI: A Journal of Physical Sciences, Engineering and Technology, vol. 16, no. 4, pp. 182–192, 2024. DOI: 10.18090/samriddhi.v16i04.08. </w:t>
      </w:r>
      <w:hyperlink r:id="rId15">
        <w:r>
          <w:rPr>
            <w:color w:val="0563C1"/>
            <w:u w:val="single"/>
            <w:rFonts w:ascii="Liberation Serif" w:hAnsi="Liberation Serif"/>
          </w:rPr>
          <w:t>Source</w:t>
        </w:r>
      </w:hyperlink>
    </w:p>
    <w:sectPr w:rsidR="00FC693F" w:rsidRPr="0006063C" w:rsidSect="00034616">
      <w:headerReference w:type="default" r:id="rId18"/>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olor w:val="66666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color w:val="777777"/>
        <w:sz w:val="17"/>
      </w:rPr>
      <w:t>Construction Project Intelligence Platform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color w:val="777777"/>
        <w:sz w:val="17"/>
      </w:rPr>
      <w:t>Construction Project Intelligence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erif" w:hAnsi="Liberation Serif"/>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erif" w:hAnsi="Liberation Serif"/>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erif" w:hAnsi="Liberation Serif"/>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Liberation Serif" w:hAnsi="Liberation Serif"/>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16/j.autcon.2010.11.010" TargetMode="External"/><Relationship Id="rId11" Type="http://schemas.openxmlformats.org/officeDocument/2006/relationships/hyperlink" Target="https://doi.org/10.1109/ICIEA52957.2021.9436728" TargetMode="External"/><Relationship Id="rId12" Type="http://schemas.openxmlformats.org/officeDocument/2006/relationships/hyperlink" Target="https://doi.org/10.3389/fbuil.2022.1029586" TargetMode="External"/><Relationship Id="rId13" Type="http://schemas.openxmlformats.org/officeDocument/2006/relationships/hyperlink" Target="https://doi.org/10.32628/IJSRCE123761" TargetMode="External"/><Relationship Id="rId14" Type="http://schemas.openxmlformats.org/officeDocument/2006/relationships/hyperlink" Target="https://doi.org/10.1155/2023/5525655" TargetMode="External"/><Relationship Id="rId15" Type="http://schemas.openxmlformats.org/officeDocument/2006/relationships/hyperlink" Target="https://doi.org/10.18090/samriddhi.v16i04.08"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Cloud-Native Construction Project Intelligence Platform for Predictive Delay and Cost Monitoring Using Power BI, Docker and Kubernetes</dc:title>
  <dc:subject>Project report with literature review, related work, research gap, objectives and architecture</dc:subject>
  <dc:creator>python-docx</dc:creator>
  <cp:keywords>Power BI, Docker, Kubernetes, construction, project controls, delay risk</cp:keywords>
  <dc:description>generated by python-docx</dc:description>
  <cp:lastModifiedBy/>
  <cp:revision>1</cp:revision>
  <dcterms:created xsi:type="dcterms:W3CDTF">2013-12-23T23:15:00Z</dcterms:created>
  <dcterms:modified xsi:type="dcterms:W3CDTF">2013-12-23T23:15:00Z</dcterms:modified>
  <cp:category/>
</cp:coreProperties>
</file>