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sz w:val="46"/>
        </w:rPr>
        <w:t>A Cloud-Native Construction Project Intelligence Platform for Predictive Delay and Cost Monitoring Using Power BI, Docker, and Kubernetes</w:t>
      </w:r>
    </w:p>
    <w:tbl>
      <w:tblPr>
        <w:tblW w:type="auto" w:w="0"/>
        <w:jc w:val="center"/>
        <w:tblLayout w:type="autofit"/>
        <w:tblLook w:firstColumn="1" w:firstRow="1" w:lastColumn="0" w:lastRow="0" w:noHBand="0" w:noVBand="1" w:val="04A0"/>
      </w:tblPr>
      <w:tblGrid>
        <w:gridCol w:w="5061"/>
        <w:gridCol w:w="5061"/>
      </w:tblGrid>
      <w:tr>
        <w:trPr>
          <w:tblHeader w:val="true"/>
        </w:trPr>
        <w:tc>
          <w:tcPr>
            <w:tcW w:type="dxa" w:w="5061"/>
            <w:tcBorders>
              <w:top w:val="nil"/>
              <w:left w:val="nil"/>
              <w:bottom w:val="nil"/>
              <w:right w:val="nil"/>
              <w:insideH w:val="nil"/>
              <w:insideV w:val="nil"/>
            </w:tcBorders>
            <w:vAlign w:val="top"/>
          </w:tcPr>
          <w:p>
            <w:pPr>
              <w:jc w:val="center"/>
            </w:pPr>
            <w:r>
              <w:rPr>
                <w:rFonts w:ascii="Times New Roman" w:hAnsi="Times New Roman"/>
                <w:b/>
                <w:sz w:val="20"/>
              </w:rPr>
              <w:t>Aryan Kishor Sao</w:t>
              <w:br/>
            </w:r>
            <w:r>
              <w:rPr>
                <w:rFonts w:ascii="Times New Roman" w:hAnsi="Times New Roman"/>
                <w:i/>
                <w:sz w:val="18"/>
              </w:rPr>
              <w:t>Dept. of Computer Science and Engineering</w:t>
              <w:br/>
              <w:t>Bhilai Institute of Technology, Durg, India</w:t>
              <w:br/>
              <w:t>[Institutional email]</w:t>
            </w:r>
          </w:p>
        </w:tc>
        <w:tc>
          <w:tcPr>
            <w:tcW w:type="dxa" w:w="5061"/>
            <w:tcBorders>
              <w:top w:val="nil"/>
              <w:left w:val="nil"/>
              <w:bottom w:val="nil"/>
              <w:right w:val="nil"/>
              <w:insideH w:val="nil"/>
              <w:insideV w:val="nil"/>
            </w:tcBorders>
            <w:vAlign w:val="top"/>
          </w:tcPr>
          <w:p>
            <w:pPr>
              <w:jc w:val="center"/>
            </w:pPr>
            <w:r>
              <w:rPr>
                <w:rFonts w:ascii="Times New Roman" w:hAnsi="Times New Roman"/>
                <w:b/>
                <w:sz w:val="20"/>
              </w:rPr>
              <w:t>[Co-author name]</w:t>
              <w:br/>
            </w:r>
            <w:r>
              <w:rPr>
                <w:rFonts w:ascii="Times New Roman" w:hAnsi="Times New Roman"/>
                <w:i/>
                <w:sz w:val="18"/>
              </w:rPr>
              <w:t>[Department / Affiliation]</w:t>
              <w:br/>
              <w:t>Bhilai Institute of Technology, Durg, India</w:t>
              <w:br/>
              <w:t>[Institutional email]</w:t>
            </w:r>
          </w:p>
        </w:tc>
      </w:tr>
    </w:tbl>
    <w:p>
      <w:pPr>
        <w:sectPr>
          <w:footerReference w:type="default" r:id="rId10"/>
          <w:pgSz w:w="11909" w:h="16834"/>
          <w:pgMar w:top="1080" w:right="893" w:bottom="1368" w:left="893" w:header="720" w:footer="720" w:gutter="0"/>
          <w:cols w:space="720"/>
          <w:docGrid w:linePitch="360"/>
        </w:sectPr>
      </w:pPr>
    </w:p>
    <w:p>
      <w:pPr>
        <w:spacing w:after="80"/>
        <w:jc w:val="both"/>
      </w:pPr>
      <w:r>
        <w:rPr>
          <w:rFonts w:ascii="Times New Roman" w:hAnsi="Times New Roman"/>
          <w:b/>
          <w:i/>
          <w:sz w:val="18"/>
        </w:rPr>
        <w:t>Abstract—</w:t>
      </w:r>
      <w:r>
        <w:rPr>
          <w:rFonts w:ascii="Times New Roman" w:hAnsi="Times New Roman"/>
          <w:sz w:val="18"/>
        </w:rPr>
        <w:t>This work presents a work-in-progress design for a cloud-native construction project intelligence platform intended to unify schedule, cost, progress, and delay-risk information within a single decision-support pipeline. Recent construction research has demonstrated the value of real-time data capture, business intelligence dashboards, machine learning, BIM-based risk analysis, and data-driven decision-making, but these capabilities are often studied or implemented as separate layers. The proposed framework addresses this integration gap through a modular pipeline comprising heterogeneous project-data sources, a Python/FastAPI ingestion and validation service, PostgreSQL persistence, an analytics layer for Earned Value Management (EVM), machine-learning-based delay-risk prediction, and a Microsoft Power BI decision-support layer. Docker is proposed for reproducible packaging, while Kubernetes is intended to provide service orchestration, persistence, health management, and future scalability. The current manuscript focuses on the research motivation, literature synthesis, system architecture, methodology, and planned evaluation rather than completed empirical results. The final study will compare candidate classification models, validate EVM computations, assess dashboard utility, and examine deployment reproducibility once the implementation and dataset preparation stages are completed.</w:t>
      </w:r>
    </w:p>
    <w:p>
      <w:pPr>
        <w:spacing w:after="140"/>
        <w:jc w:val="both"/>
      </w:pPr>
      <w:r>
        <w:rPr>
          <w:rFonts w:ascii="Times New Roman" w:hAnsi="Times New Roman"/>
          <w:b/>
          <w:i/>
          <w:sz w:val="18"/>
        </w:rPr>
        <w:t>Keywords—</w:t>
      </w:r>
      <w:r>
        <w:rPr>
          <w:rFonts w:ascii="Times New Roman" w:hAnsi="Times New Roman"/>
          <w:sz w:val="18"/>
        </w:rPr>
        <w:t>construction project management, delay prediction, cost monitoring, Earned Value Management, machine learning, Power BI, BIM, Docker, Kubernetes, cloud-native architecture.</w:t>
      </w:r>
    </w:p>
    <w:p>
      <w:pPr>
        <w:spacing w:before="200" w:after="60"/>
        <w:jc w:val="center"/>
      </w:pPr>
      <w:r>
        <w:rPr>
          <w:rFonts w:ascii="Times New Roman" w:hAnsi="Times New Roman"/>
          <w:b/>
          <w:sz w:val="20"/>
        </w:rPr>
        <w:t>I. INTRODUCTION</w:t>
      </w:r>
    </w:p>
    <w:p>
      <w:pPr>
        <w:spacing w:after="60" w:line="240" w:lineRule="auto"/>
        <w:ind w:firstLine="202"/>
        <w:jc w:val="both"/>
      </w:pPr>
      <w:r>
        <w:rPr>
          <w:rFonts w:ascii="Times New Roman" w:hAnsi="Times New Roman"/>
          <w:sz w:val="20"/>
        </w:rPr>
        <w:t>Construction projects combine tightly coupled activities, multiple stakeholders, contractual milestones, uncertain resource availability, and large volumes of schedule and cost information. Delay and cost escalation are therefore not isolated data problems; they are project-control problems that require timely collection, validation, analysis, and communication of heterogeneous information. Radman et al. describe construction delay management as a lifecycle in which digital technologies must support data acquisition, screening and analysis, and presentation, with the purpose of enabling timely managerial action [1]. Their review also highlights the continuing dependence of construction practice on multiple disconnected platforms and the need for more integrated information flows.</w:t>
      </w:r>
    </w:p>
    <w:p>
      <w:pPr>
        <w:spacing w:after="60" w:line="240" w:lineRule="auto"/>
        <w:ind w:firstLine="202"/>
        <w:jc w:val="both"/>
      </w:pPr>
      <w:r>
        <w:rPr>
          <w:rFonts w:ascii="Times New Roman" w:hAnsi="Times New Roman"/>
          <w:sz w:val="20"/>
        </w:rPr>
        <w:t>Recent empirical work reinforces this need for improved visibility. The RealCONs framework integrates QR-based field capture, BIM, cloud SQL storage, and Power BI for live construction monitoring and reports stronger data continuity than a conventional tracking system in its case study [2]. The study is particularly relevant because it links structured field data to Earned Value and Earned Schedule indicators rather than treating data capture and analytics as separate activities. However, RealCONs primarily emphasizes monitoring and deterministic project-control measures, leaving room for a broader architecture in which predictive machine learning and containerized deployment are first-class components.</w:t>
      </w:r>
    </w:p>
    <w:p>
      <w:pPr>
        <w:spacing w:after="60" w:line="240" w:lineRule="auto"/>
        <w:ind w:firstLine="202"/>
        <w:jc w:val="both"/>
      </w:pPr>
      <w:r>
        <w:rPr>
          <w:rFonts w:ascii="Times New Roman" w:hAnsi="Times New Roman"/>
          <w:sz w:val="20"/>
        </w:rPr>
        <w:t>The predictive dimension has also developed rapidly. Egwim et al. investigate an ensemble-based artificial-intelligence approach to construction delay prediction and evaluate multiple classifiers using accuracy, precision, recall, F1-score, and ROC-AUC [3]. Neththikumara et al. explore concurrent-delay analysis using K-means clustering and Random Forest on a synthetic construction dataset containing factors such as labour hours, resource availability, weather, and project complexity [4]. Restrepo Ramirez and Rua Machado extend machine-learning-based forecasting to future progress and cash flow, explicitly connecting schedule prediction and cost-overrun estimation with earned-value information [5]. These studies motivate a project intelligence layer in which historical and current control indicators become predictive features rather than remaining only as retrospective reports.</w:t>
      </w:r>
    </w:p>
    <w:p>
      <w:pPr>
        <w:spacing w:after="60" w:line="240" w:lineRule="auto"/>
        <w:ind w:firstLine="202"/>
        <w:jc w:val="both"/>
      </w:pPr>
      <w:r>
        <w:rPr>
          <w:rFonts w:ascii="Times New Roman" w:hAnsi="Times New Roman"/>
          <w:sz w:val="20"/>
        </w:rPr>
        <w:t>A complementary line of research focuses on decision support. Ghosh et al. report that construction professionals value real-time data, interactivity, user-friendliness, and customizability in visual dashboards, while identifying real-time data integration as a key challenge [6]. Abdulaziz and Ahmed similarly investigate a customized Power BI dashboard integrated with BIM to provide interactive insights into project cost, schedule, and progress [7]. Gajera discusses Power BI integration with project-control systems for real-time cost tracking and visualization [8]. Together, these studies support the use of BI as the presentation and decision-support layer, but they also make clear that dashboard quality depends on the underlying data integration architecture.</w:t>
      </w:r>
    </w:p>
    <w:p>
      <w:pPr>
        <w:spacing w:after="60" w:line="240" w:lineRule="auto"/>
        <w:ind w:firstLine="202"/>
        <w:jc w:val="both"/>
      </w:pPr>
      <w:r>
        <w:rPr>
          <w:rFonts w:ascii="Times New Roman" w:hAnsi="Times New Roman"/>
          <w:sz w:val="20"/>
        </w:rPr>
        <w:t>This research therefore proposes a single cloud-native workflow that connects project data ingestion, persistent storage, EVM computation, predictive risk modeling, and visualization. The intended contribution is not a new standalone prediction algorithm or a new dashboard technique; rather, it is an integrated architecture that can be reproduced, extended, and evaluated as the project progresses. Because implementation is still underway, this paper reports the proposed framework and evaluation plan and does not claim completed experimental performance.</w:t>
      </w:r>
    </w:p>
    <w:p>
      <w:pPr>
        <w:spacing w:before="200" w:after="60"/>
        <w:jc w:val="center"/>
      </w:pPr>
      <w:r>
        <w:rPr>
          <w:rFonts w:ascii="Times New Roman" w:hAnsi="Times New Roman"/>
          <w:b/>
          <w:sz w:val="20"/>
        </w:rPr>
        <w:t>II. RELATED WORK</w:t>
      </w:r>
    </w:p>
    <w:p>
      <w:pPr>
        <w:spacing w:before="120" w:after="40"/>
        <w:jc w:val="left"/>
      </w:pPr>
      <w:r>
        <w:rPr>
          <w:rFonts w:ascii="Times New Roman" w:hAnsi="Times New Roman"/>
          <w:b/>
          <w:i/>
          <w:sz w:val="20"/>
        </w:rPr>
        <w:t>A. Digital Delay Management and Real-Time Data</w:t>
      </w:r>
    </w:p>
    <w:p>
      <w:pPr>
        <w:spacing w:after="60" w:line="240" w:lineRule="auto"/>
        <w:ind w:firstLine="202"/>
        <w:jc w:val="both"/>
      </w:pPr>
      <w:r>
        <w:rPr>
          <w:rFonts w:ascii="Times New Roman" w:hAnsi="Times New Roman"/>
          <w:sz w:val="20"/>
        </w:rPr>
        <w:t>Radman et al. [1] propose a process-based framework that organizes digital construction technologies around the lifecycle of data collection, data analysis, and data presentation. The review covers technologies such as smartphones, RFID, sensors, planning tools, and BIM and emphasizes centralization of communication and timely reporting. RealCONs later operationalizes several of these ideas through QR-enabled progress capture, BIM integration, cloud SQL storage, and Power BI analytics [2]. Its case evidence shows that data continuity and measurement availability can materially affect the reliability of project-control indicators during disruption periods. For the proposed platform, these findings motivate an ingestion layer that treats data quality and continuity as architectural requirements rather than as an afterthought.</w:t>
      </w:r>
    </w:p>
    <w:p>
      <w:pPr>
        <w:spacing w:before="120" w:after="40"/>
        <w:jc w:val="left"/>
      </w:pPr>
      <w:r>
        <w:rPr>
          <w:rFonts w:ascii="Times New Roman" w:hAnsi="Times New Roman"/>
          <w:b/>
          <w:i/>
          <w:sz w:val="20"/>
        </w:rPr>
        <w:t>B. Machine Learning for Construction Delay Prediction</w:t>
      </w:r>
    </w:p>
    <w:p>
      <w:pPr>
        <w:spacing w:after="60" w:line="240" w:lineRule="auto"/>
        <w:ind w:firstLine="202"/>
        <w:jc w:val="both"/>
      </w:pPr>
      <w:r>
        <w:rPr>
          <w:rFonts w:ascii="Times New Roman" w:hAnsi="Times New Roman"/>
          <w:sz w:val="20"/>
        </w:rPr>
        <w:t>Egwim et al. [3] provide a broad comparison of bagging, boosting, naive Bayes, decision-tree, random-forest, gradient-boosting, and stacked ensemble approaches for construction delay prediction. Their evaluation methodology demonstrates the usefulness of standard classification metrics and hyperparameter optimization when delay labels can be constructed reliably. Neththikumara et al. [4] study concurrent delays using clustering followed by Random Forest prediction. Their work is useful for the present study because it frames delay as a multidimensional phenomenon influenced by concurrent operational conditions rather than by a single schedule variable.</w:t>
      </w:r>
    </w:p>
    <w:p>
      <w:pPr>
        <w:spacing w:after="60" w:line="240" w:lineRule="auto"/>
        <w:ind w:firstLine="202"/>
        <w:jc w:val="both"/>
      </w:pPr>
      <w:r>
        <w:rPr>
          <w:rFonts w:ascii="Times New Roman" w:hAnsi="Times New Roman"/>
          <w:sz w:val="20"/>
        </w:rPr>
        <w:t>Restrepo Ramirez and Rua Machado [5] provide a further connection between project controls and prediction by using earned value and project cash flows to forecast future progress, construction delays, and cost overruns. The reported models include several regression approaches and random forest regression, illustrating that a predictive project-intelligence system can consider both time and financial trajectories. The proposed platform adapts this direction by treating EVM indicators, schedule attributes, and contextual project variables as candidate predictive features while leaving the final feature set dependent on the dataset selected for implementation.</w:t>
      </w:r>
    </w:p>
    <w:p>
      <w:pPr>
        <w:spacing w:before="120" w:after="40"/>
        <w:jc w:val="left"/>
      </w:pPr>
      <w:r>
        <w:rPr>
          <w:rFonts w:ascii="Times New Roman" w:hAnsi="Times New Roman"/>
          <w:b/>
          <w:i/>
          <w:sz w:val="20"/>
        </w:rPr>
        <w:t>C. BIM, Business Intelligence, and Dashboard Design</w:t>
      </w:r>
    </w:p>
    <w:p>
      <w:pPr>
        <w:spacing w:after="60" w:line="240" w:lineRule="auto"/>
        <w:ind w:firstLine="202"/>
        <w:jc w:val="both"/>
      </w:pPr>
      <w:r>
        <w:rPr>
          <w:rFonts w:ascii="Times New Roman" w:hAnsi="Times New Roman"/>
          <w:sz w:val="20"/>
        </w:rPr>
        <w:t>Ghosh et al. [6] examine how construction professionals use visual dashboards and identify real-time information, interactivity, ease of use, and customizability as important characteristics. The study also identifies data integration as a continuing challenge. Abdulaziz and Ahmed [7] show how BIM data can be connected to a customized Power BI environment for monitoring project cost, schedule, and progress. Gajera [8] similarly emphasizes Power BI as a mechanism for real-time cost tracking, visualization, transparency, and decision support. These studies support a BI layer that sits downstream of a governed analytical data model rather than directly replacing data engineering.</w:t>
      </w:r>
    </w:p>
    <w:p>
      <w:pPr>
        <w:spacing w:before="120" w:after="40"/>
        <w:jc w:val="left"/>
      </w:pPr>
      <w:r>
        <w:rPr>
          <w:rFonts w:ascii="Times New Roman" w:hAnsi="Times New Roman"/>
          <w:b/>
          <w:i/>
          <w:sz w:val="20"/>
        </w:rPr>
        <w:t>D. Probabilistic Schedule Risk and Data-Quality Considerations</w:t>
      </w:r>
    </w:p>
    <w:p>
      <w:pPr>
        <w:spacing w:after="60" w:line="240" w:lineRule="auto"/>
        <w:ind w:firstLine="202"/>
        <w:jc w:val="both"/>
      </w:pPr>
      <w:r>
        <w:rPr>
          <w:rFonts w:ascii="Times New Roman" w:hAnsi="Times New Roman"/>
          <w:sz w:val="20"/>
        </w:rPr>
        <w:t>Zhang and Wang [9] develop a data-driven schedule-risk methodology that combines BIM with probabilistic reliability analysis to identify critical tasks and probable failure conditions under uncertain durations. Their framework demonstrates how schedule networks can be analyzed beyond deterministic critical-path calculations. The present work uses this research as a theoretical basis for an optional reliability-analysis component that can complement machine-learning classification. In parallel, West et al. [10] highlight ambiguity and consistency problems in building-condition auditing and show the value of standardized registers and weighted indices. Although their application domain is asset auditing rather than project delay prediction, the data-governance lesson is relevant: consistent identifiers, definitions, and reporting rules are necessary before downstream analytics can be trusted.</w:t>
      </w:r>
    </w:p>
    <w:p>
      <w:pPr>
        <w:spacing w:before="100" w:after="40"/>
        <w:jc w:val="center"/>
      </w:pPr>
      <w:r>
        <w:rPr>
          <w:rFonts w:ascii="Times New Roman" w:hAnsi="Times New Roman"/>
          <w:b/>
          <w:sz w:val="16"/>
        </w:rPr>
        <w:t>TABLE I. SELECTED LITERATURE AND DESIGN IMPLICATIONS</w:t>
      </w:r>
    </w:p>
    <w:tbl>
      <w:tblPr>
        <w:tblW w:type="dxa" w:w="4608"/>
        <w:jc w:val="center"/>
        <w:tblLayout w:type="fixed"/>
        <w:tblLook w:firstColumn="1" w:firstRow="1" w:lastColumn="0" w:lastRow="0" w:noHBand="0" w:noVBand="1" w:val="04A0"/>
      </w:tblPr>
      <w:tblGrid>
        <w:gridCol w:w="5061"/>
        <w:gridCol w:w="5061"/>
      </w:tblGrid>
      <w:tr>
        <w:trPr>
          <w:tblHeader w:val="true"/>
        </w:trPr>
        <w:tc>
          <w:tcPr>
            <w:tcW w:type="dxa" w:w="1080"/>
            <w:vAlign w:val="center"/>
          </w:tcPr>
          <w:p>
            <w:pPr>
              <w:jc w:val="center"/>
            </w:pPr>
            <w:r>
              <w:rPr>
                <w:rFonts w:ascii="Times New Roman" w:hAnsi="Times New Roman"/>
                <w:b/>
                <w:sz w:val="14"/>
              </w:rPr>
              <w:t>Study</w:t>
            </w:r>
          </w:p>
        </w:tc>
        <w:tc>
          <w:tcPr>
            <w:tcW w:type="dxa" w:w="3528"/>
            <w:vAlign w:val="center"/>
          </w:tcPr>
          <w:p>
            <w:pPr>
              <w:jc w:val="center"/>
            </w:pPr>
            <w:r>
              <w:rPr>
                <w:rFonts w:ascii="Times New Roman" w:hAnsi="Times New Roman"/>
                <w:b/>
                <w:sz w:val="14"/>
              </w:rPr>
              <w:t>Contribution and implication for the proposed framework</w:t>
            </w:r>
          </w:p>
        </w:tc>
      </w:tr>
      <w:tr>
        <w:tc>
          <w:tcPr>
            <w:tcW w:type="dxa" w:w="5061"/>
            <w:vAlign w:val="top"/>
          </w:tcPr>
          <w:p>
            <w:pPr>
              <w:jc w:val="left"/>
            </w:pPr>
            <w:r>
              <w:rPr>
                <w:rFonts w:ascii="Times New Roman" w:hAnsi="Times New Roman"/>
                <w:sz w:val="14"/>
              </w:rPr>
              <w:t>Radman et al. [1]</w:t>
            </w:r>
          </w:p>
        </w:tc>
        <w:tc>
          <w:tcPr>
            <w:tcW w:type="dxa" w:w="5061"/>
            <w:vAlign w:val="top"/>
          </w:tcPr>
          <w:p>
            <w:pPr>
              <w:jc w:val="left"/>
            </w:pPr>
            <w:r>
              <w:rPr>
                <w:rFonts w:ascii="Times New Roman" w:hAnsi="Times New Roman"/>
                <w:sz w:val="14"/>
              </w:rPr>
              <w:t>Data-lifecycle framework; motivates integrated collection, analysis, and presentation.</w:t>
            </w:r>
          </w:p>
        </w:tc>
      </w:tr>
      <w:tr>
        <w:tc>
          <w:tcPr>
            <w:tcW w:type="dxa" w:w="5061"/>
            <w:vAlign w:val="top"/>
          </w:tcPr>
          <w:p>
            <w:pPr>
              <w:jc w:val="left"/>
            </w:pPr>
            <w:r>
              <w:rPr>
                <w:rFonts w:ascii="Times New Roman" w:hAnsi="Times New Roman"/>
                <w:sz w:val="14"/>
              </w:rPr>
              <w:t>Radman et al. [2]</w:t>
            </w:r>
          </w:p>
        </w:tc>
        <w:tc>
          <w:tcPr>
            <w:tcW w:type="dxa" w:w="5061"/>
            <w:vAlign w:val="top"/>
          </w:tcPr>
          <w:p>
            <w:pPr>
              <w:jc w:val="left"/>
            </w:pPr>
            <w:r>
              <w:rPr>
                <w:rFonts w:ascii="Times New Roman" w:hAnsi="Times New Roman"/>
                <w:sz w:val="14"/>
              </w:rPr>
              <w:t>QR + BIM + cloud SQL + Power BI monitoring; provides a strong monitoring precedent while leaving predictive and containerized layers open.</w:t>
            </w:r>
          </w:p>
        </w:tc>
      </w:tr>
      <w:tr>
        <w:tc>
          <w:tcPr>
            <w:tcW w:type="dxa" w:w="5061"/>
            <w:vAlign w:val="top"/>
          </w:tcPr>
          <w:p>
            <w:pPr>
              <w:jc w:val="left"/>
            </w:pPr>
            <w:r>
              <w:rPr>
                <w:rFonts w:ascii="Times New Roman" w:hAnsi="Times New Roman"/>
                <w:sz w:val="14"/>
              </w:rPr>
              <w:t>Egwim et al. [3]</w:t>
            </w:r>
          </w:p>
        </w:tc>
        <w:tc>
          <w:tcPr>
            <w:tcW w:type="dxa" w:w="5061"/>
            <w:vAlign w:val="top"/>
          </w:tcPr>
          <w:p>
            <w:pPr>
              <w:jc w:val="left"/>
            </w:pPr>
            <w:r>
              <w:rPr>
                <w:rFonts w:ascii="Times New Roman" w:hAnsi="Times New Roman"/>
                <w:sz w:val="14"/>
              </w:rPr>
              <w:t>Ensemble ML for delay classification; supports model comparison and standard classification metrics.</w:t>
            </w:r>
          </w:p>
        </w:tc>
      </w:tr>
      <w:tr>
        <w:tc>
          <w:tcPr>
            <w:tcW w:type="dxa" w:w="5061"/>
            <w:vAlign w:val="top"/>
          </w:tcPr>
          <w:p>
            <w:pPr>
              <w:jc w:val="left"/>
            </w:pPr>
            <w:r>
              <w:rPr>
                <w:rFonts w:ascii="Times New Roman" w:hAnsi="Times New Roman"/>
                <w:sz w:val="14"/>
              </w:rPr>
              <w:t>Neththikumara et al. [4]</w:t>
            </w:r>
          </w:p>
        </w:tc>
        <w:tc>
          <w:tcPr>
            <w:tcW w:type="dxa" w:w="5061"/>
            <w:vAlign w:val="top"/>
          </w:tcPr>
          <w:p>
            <w:pPr>
              <w:jc w:val="left"/>
            </w:pPr>
            <w:r>
              <w:rPr>
                <w:rFonts w:ascii="Times New Roman" w:hAnsi="Times New Roman"/>
                <w:sz w:val="14"/>
              </w:rPr>
              <w:t>K-means + Random Forest for concurrent delays; supports multi-factor analysis while highlighting dataset dependence.</w:t>
            </w:r>
          </w:p>
        </w:tc>
      </w:tr>
      <w:tr>
        <w:tc>
          <w:tcPr>
            <w:tcW w:type="dxa" w:w="5061"/>
            <w:vAlign w:val="top"/>
          </w:tcPr>
          <w:p>
            <w:pPr>
              <w:jc w:val="left"/>
            </w:pPr>
            <w:r>
              <w:rPr>
                <w:rFonts w:ascii="Times New Roman" w:hAnsi="Times New Roman"/>
                <w:sz w:val="14"/>
              </w:rPr>
              <w:t>Restrepo Ramirez and Rua Machado [5]</w:t>
            </w:r>
          </w:p>
        </w:tc>
        <w:tc>
          <w:tcPr>
            <w:tcW w:type="dxa" w:w="5061"/>
            <w:vAlign w:val="top"/>
          </w:tcPr>
          <w:p>
            <w:pPr>
              <w:jc w:val="left"/>
            </w:pPr>
            <w:r>
              <w:rPr>
                <w:rFonts w:ascii="Times New Roman" w:hAnsi="Times New Roman"/>
                <w:sz w:val="14"/>
              </w:rPr>
              <w:t>ML forecasting with earned value and cash flow; supports combined time-cost predictive features.</w:t>
            </w:r>
          </w:p>
        </w:tc>
      </w:tr>
      <w:tr>
        <w:tc>
          <w:tcPr>
            <w:tcW w:type="dxa" w:w="5061"/>
            <w:vAlign w:val="top"/>
          </w:tcPr>
          <w:p>
            <w:pPr>
              <w:jc w:val="left"/>
            </w:pPr>
            <w:r>
              <w:rPr>
                <w:rFonts w:ascii="Times New Roman" w:hAnsi="Times New Roman"/>
                <w:sz w:val="14"/>
              </w:rPr>
              <w:t>Ghosh et al. [6] / Abdulaziz and Ahmed [7]</w:t>
            </w:r>
          </w:p>
        </w:tc>
        <w:tc>
          <w:tcPr>
            <w:tcW w:type="dxa" w:w="5061"/>
            <w:vAlign w:val="top"/>
          </w:tcPr>
          <w:p>
            <w:pPr>
              <w:jc w:val="left"/>
            </w:pPr>
            <w:r>
              <w:rPr>
                <w:rFonts w:ascii="Times New Roman" w:hAnsi="Times New Roman"/>
                <w:sz w:val="14"/>
              </w:rPr>
              <w:t>Dashboard usability and BIM-Power BI integration; supports interactive BI decision support and highlights data integration needs.</w:t>
            </w:r>
          </w:p>
        </w:tc>
      </w:tr>
      <w:tr>
        <w:tc>
          <w:tcPr>
            <w:tcW w:type="dxa" w:w="5061"/>
            <w:vAlign w:val="top"/>
          </w:tcPr>
          <w:p>
            <w:pPr>
              <w:jc w:val="left"/>
            </w:pPr>
            <w:r>
              <w:rPr>
                <w:rFonts w:ascii="Times New Roman" w:hAnsi="Times New Roman"/>
                <w:sz w:val="14"/>
              </w:rPr>
              <w:t>Zhang and Wang [9]</w:t>
            </w:r>
          </w:p>
        </w:tc>
        <w:tc>
          <w:tcPr>
            <w:tcW w:type="dxa" w:w="5061"/>
            <w:vAlign w:val="top"/>
          </w:tcPr>
          <w:p>
            <w:pPr>
              <w:jc w:val="left"/>
            </w:pPr>
            <w:r>
              <w:rPr>
                <w:rFonts w:ascii="Times New Roman" w:hAnsi="Times New Roman"/>
                <w:sz w:val="14"/>
              </w:rPr>
              <w:t>BIM + probabilistic reliability schedule-risk analysis; provides an uncertainty-aware complement to ML prediction.</w:t>
            </w:r>
          </w:p>
        </w:tc>
      </w:tr>
    </w:tbl>
    <w:p>
      <w:pPr>
        <w:spacing w:before="200" w:after="60"/>
        <w:jc w:val="center"/>
      </w:pPr>
      <w:r>
        <w:rPr>
          <w:rFonts w:ascii="Times New Roman" w:hAnsi="Times New Roman"/>
          <w:b/>
          <w:sz w:val="20"/>
        </w:rPr>
        <w:t>III. RESEARCH GAP AND OBJECTIVES</w:t>
      </w:r>
    </w:p>
    <w:p>
      <w:pPr>
        <w:spacing w:before="120" w:after="40"/>
        <w:jc w:val="left"/>
      </w:pPr>
      <w:r>
        <w:rPr>
          <w:rFonts w:ascii="Times New Roman" w:hAnsi="Times New Roman"/>
          <w:b/>
          <w:i/>
          <w:sz w:val="20"/>
        </w:rPr>
        <w:t>A. Research Gap</w:t>
      </w:r>
    </w:p>
    <w:p>
      <w:pPr>
        <w:spacing w:after="60" w:line="240" w:lineRule="auto"/>
        <w:ind w:firstLine="202"/>
        <w:jc w:val="both"/>
      </w:pPr>
      <w:r>
        <w:rPr>
          <w:rFonts w:ascii="Times New Roman" w:hAnsi="Times New Roman"/>
          <w:sz w:val="20"/>
        </w:rPr>
        <w:t>The reviewed studies establish several mature building blocks: digital progress capture and data lifecycle thinking [1], integrated monitoring with BIM and Power BI [2], machine-learning-based delay prediction [3], concurrent-delay analysis [4], earned-value-linked forecasting of time and cost [5], dashboard design and BI integration [6]-[8], and probabilistic schedule-risk analysis [9]. The remaining research and engineering gap is the lack of a single, reproducible workflow that joins these elements at the architecture level. In particular, predictive models are often evaluated independently from the reporting systems that stakeholders use; dashboard studies may depend on manually prepared datasets; and digital monitoring frameworks may not expose their analytics as portable containerized services.</w:t>
      </w:r>
    </w:p>
    <w:p>
      <w:pPr>
        <w:spacing w:after="60" w:line="240" w:lineRule="auto"/>
        <w:ind w:firstLine="202"/>
        <w:jc w:val="both"/>
      </w:pPr>
      <w:r>
        <w:rPr>
          <w:rFonts w:ascii="Times New Roman" w:hAnsi="Times New Roman"/>
          <w:sz w:val="20"/>
        </w:rPr>
        <w:t>The proposed work addresses this gap by designing an architecture in which the same governed data model feeds both descriptive project-control indicators and predictive risk outputs. The approach is intentionally modular so that individual technologies can be replaced without redesigning the entire platform. This is particularly important for a work-in-progress project because dataset availability, model choice, and deployment environment may evolve during implementation.</w:t>
      </w:r>
    </w:p>
    <w:p>
      <w:pPr>
        <w:spacing w:before="120" w:after="40"/>
        <w:jc w:val="left"/>
      </w:pPr>
      <w:r>
        <w:rPr>
          <w:rFonts w:ascii="Times New Roman" w:hAnsi="Times New Roman"/>
          <w:b/>
          <w:i/>
          <w:sz w:val="20"/>
        </w:rPr>
        <w:t>B. Research Questions</w:t>
      </w:r>
    </w:p>
    <w:p>
      <w:pPr>
        <w:spacing w:after="60" w:line="240" w:lineRule="auto"/>
        <w:ind w:firstLine="202"/>
        <w:jc w:val="both"/>
      </w:pPr>
      <w:r>
        <w:rPr>
          <w:rFonts w:ascii="Times New Roman" w:hAnsi="Times New Roman"/>
          <w:sz w:val="20"/>
        </w:rPr>
        <w:t>RQ1: How can heterogeneous construction schedule, cost, progress, and project-context data be integrated into a common analytical model suitable for both EVM and machine-learning workflows? RQ2: How can candidate machine-learning models use project-control and contextual features to generate activity- or project-level delay-risk estimates? RQ3: How can Power BI present retrospective performance indicators and predictive risk information in a single decision-support workflow? RQ4: How can Docker and Kubernetes be used to make the analytical pipeline reproducible and extensible for future deployment?</w:t>
      </w:r>
    </w:p>
    <w:p>
      <w:pPr>
        <w:spacing w:before="120" w:after="40"/>
        <w:jc w:val="left"/>
      </w:pPr>
      <w:r>
        <w:rPr>
          <w:rFonts w:ascii="Times New Roman" w:hAnsi="Times New Roman"/>
          <w:b/>
          <w:i/>
          <w:sz w:val="20"/>
        </w:rPr>
        <w:t>C. Objectives</w:t>
      </w:r>
    </w:p>
    <w:p>
      <w:pPr>
        <w:spacing w:after="60" w:line="240" w:lineRule="auto"/>
        <w:ind w:firstLine="202"/>
        <w:jc w:val="both"/>
      </w:pPr>
      <w:r>
        <w:rPr>
          <w:rFonts w:ascii="Times New Roman" w:hAnsi="Times New Roman"/>
          <w:sz w:val="20"/>
        </w:rPr>
        <w:t>The current project is organized around seven objectives: (1) define a normalized project-control data model; (2) construct data-ingestion and validation services using Python/FastAPI; (3) compute EVM indicators and cost/schedule trends; (4) train and compare candidate delay-prediction models; (5) expose analytical outputs through Power BI; (6) package core services with Docker and prepare Kubernetes deployment manifests; and (7) evaluate analytical correctness, prediction quality, dashboard utility, and deployment reproducibility after implementation.</w:t>
      </w:r>
    </w:p>
    <w:p>
      <w:pPr>
        <w:spacing w:before="200" w:after="60"/>
        <w:jc w:val="center"/>
      </w:pPr>
      <w:r>
        <w:rPr>
          <w:rFonts w:ascii="Times New Roman" w:hAnsi="Times New Roman"/>
          <w:b/>
          <w:sz w:val="20"/>
        </w:rPr>
        <w:t>IV. PROPOSED SYSTEM ARCHITECTURE</w:t>
      </w:r>
    </w:p>
    <w:p>
      <w:pPr>
        <w:spacing w:before="120" w:after="40"/>
        <w:jc w:val="left"/>
      </w:pPr>
      <w:r>
        <w:rPr>
          <w:rFonts w:ascii="Times New Roman" w:hAnsi="Times New Roman"/>
          <w:b/>
          <w:i/>
          <w:sz w:val="20"/>
        </w:rPr>
        <w:t>A. Architecture Overview</w:t>
      </w:r>
    </w:p>
    <w:p>
      <w:pPr>
        <w:spacing w:after="60" w:line="240" w:lineRule="auto"/>
        <w:ind w:firstLine="202"/>
        <w:jc w:val="both"/>
      </w:pPr>
      <w:r>
        <w:rPr>
          <w:rFonts w:ascii="Times New Roman" w:hAnsi="Times New Roman"/>
          <w:sz w:val="20"/>
        </w:rPr>
        <w:t>The proposed architecture separates data acquisition, persistence, analytics, risk estimation, and decision support into loosely coupled layers. Figure 1 summarizes the intended topology. Project schedules and work-breakdown structures, cost records, field progress updates, and BIM-related metadata enter through a validation service. Validated data are persisted in PostgreSQL and exposed to separate analytics services. EVM computations and predictive models write derived indicators back to the persistent layer, from which Power BI can provide interactive reporting. Docker packages the services into reproducible units, while Kubernetes provides the target orchestration environment.</w:t>
      </w:r>
    </w:p>
    <w:p>
      <w:pPr>
        <w:spacing w:before="60" w:after="20"/>
        <w:jc w:val="center"/>
      </w:pPr>
      <w:r>
        <w:drawing>
          <wp:inline xmlns:a="http://schemas.openxmlformats.org/drawingml/2006/main" xmlns:pic="http://schemas.openxmlformats.org/drawingml/2006/picture">
            <wp:extent cx="2971800" cy="1413299"/>
            <wp:docPr id="1" name="Picture 1" descr="Proposed cloud-native construction project intelligence architecture showing data sources, ingestion and validation, PostgreSQL persistence, analytics and risk services, and Power BI decision support." title="Proposed architecture"/>
            <wp:cNvGraphicFramePr>
              <a:graphicFrameLocks noChangeAspect="1"/>
            </wp:cNvGraphicFramePr>
            <a:graphic>
              <a:graphicData uri="http://schemas.openxmlformats.org/drawingml/2006/picture">
                <pic:pic>
                  <pic:nvPicPr>
                    <pic:cNvPr id="0" name="proposed_architecture_clean.png"/>
                    <pic:cNvPicPr/>
                  </pic:nvPicPr>
                  <pic:blipFill>
                    <a:blip r:embed="rId9"/>
                    <a:stretch>
                      <a:fillRect/>
                    </a:stretch>
                  </pic:blipFill>
                  <pic:spPr>
                    <a:xfrm>
                      <a:off x="0" y="0"/>
                      <a:ext cx="2971800" cy="1413299"/>
                    </a:xfrm>
                    <a:prstGeom prst="rect"/>
                  </pic:spPr>
                </pic:pic>
              </a:graphicData>
            </a:graphic>
          </wp:inline>
        </w:drawing>
      </w:r>
    </w:p>
    <w:p>
      <w:pPr>
        <w:spacing w:before="0" w:after="80"/>
        <w:jc w:val="center"/>
      </w:pPr>
      <w:r>
        <w:rPr>
          <w:rFonts w:ascii="Times New Roman" w:hAnsi="Times New Roman"/>
          <w:sz w:val="16"/>
        </w:rPr>
        <w:t>Fig. 1. Proposed cloud-native construction project intelligence architecture.</w:t>
      </w:r>
    </w:p>
    <w:p>
      <w:pPr>
        <w:spacing w:before="120" w:after="40"/>
        <w:jc w:val="left"/>
      </w:pPr>
      <w:r>
        <w:rPr>
          <w:rFonts w:ascii="Times New Roman" w:hAnsi="Times New Roman"/>
          <w:b/>
          <w:i/>
          <w:sz w:val="20"/>
        </w:rPr>
        <w:t>B. Data Ingestion and Validation Layer</w:t>
      </w:r>
    </w:p>
    <w:p>
      <w:pPr>
        <w:spacing w:after="60" w:line="240" w:lineRule="auto"/>
        <w:ind w:firstLine="202"/>
        <w:jc w:val="both"/>
      </w:pPr>
      <w:r>
        <w:rPr>
          <w:rFonts w:ascii="Times New Roman" w:hAnsi="Times New Roman"/>
          <w:sz w:val="20"/>
        </w:rPr>
        <w:t>The ingestion layer is intended to provide REST endpoints through FastAPI. Incoming records will be validated with typed schemas, checked for missing identifiers, inconsistent dates, invalid numerical values, and duplicate events, and then transformed into the canonical project schema. The design follows the broader data-quality concerns identified in digital construction monitoring and auditing literature [1], [2], [10]. Audit fields such as source, ingestion timestamp, and update version are proposed so that later analysis can distinguish current values from historical corrections.</w:t>
      </w:r>
    </w:p>
    <w:p>
      <w:pPr>
        <w:spacing w:before="120" w:after="40"/>
        <w:jc w:val="left"/>
      </w:pPr>
      <w:r>
        <w:rPr>
          <w:rFonts w:ascii="Times New Roman" w:hAnsi="Times New Roman"/>
          <w:b/>
          <w:i/>
          <w:sz w:val="20"/>
        </w:rPr>
        <w:t>C. Persistent Data Model</w:t>
      </w:r>
    </w:p>
    <w:p>
      <w:pPr>
        <w:spacing w:after="60" w:line="240" w:lineRule="auto"/>
        <w:ind w:firstLine="202"/>
        <w:jc w:val="both"/>
      </w:pPr>
      <w:r>
        <w:rPr>
          <w:rFonts w:ascii="Times New Roman" w:hAnsi="Times New Roman"/>
          <w:sz w:val="20"/>
        </w:rPr>
        <w:t>PostgreSQL is proposed as the central relational store. The conceptual schema separates master entities, transactional or time-series records, and analytical outputs. Master entities include projects, activities, contractors, and WBS levels. Time-series facts include progress updates, planned value, earned value, actual cost, and dated status observations. Derived tables contain EVM results, model predictions, and risk scores. This separation is intended to reduce duplication and allow Power BI to consume stable analytical views rather than raw operational tables.</w:t>
      </w:r>
    </w:p>
    <w:p>
      <w:pPr>
        <w:spacing w:before="120" w:after="40"/>
        <w:jc w:val="left"/>
      </w:pPr>
      <w:r>
        <w:rPr>
          <w:rFonts w:ascii="Times New Roman" w:hAnsi="Times New Roman"/>
          <w:b/>
          <w:i/>
          <w:sz w:val="20"/>
        </w:rPr>
        <w:t>D. Analytics and Risk Layer</w:t>
      </w:r>
    </w:p>
    <w:p>
      <w:pPr>
        <w:spacing w:after="60" w:line="240" w:lineRule="auto"/>
        <w:ind w:firstLine="202"/>
        <w:jc w:val="both"/>
      </w:pPr>
      <w:r>
        <w:rPr>
          <w:rFonts w:ascii="Times New Roman" w:hAnsi="Times New Roman"/>
          <w:sz w:val="20"/>
        </w:rPr>
        <w:t>The analytics tier will compute schedule and cost indicators and construct model-ready feature tables. Candidate predictive features may include planned and observed activity duration, float, predecessor count, rolling SPI, CPI, resource availability, weather or disruption flags, project complexity, and historical contractor performance, subject to the variables available in the final dataset [3]-[5]. Two complementary risk approaches are proposed: supervised classification for empirical prediction and probabilistic reliability analysis for uncertainty-aware schedule evaluation [9]. The reliability component remains a planned enhancement until the data and implementation requirements are confirmed.</w:t>
      </w:r>
    </w:p>
    <w:p>
      <w:pPr>
        <w:spacing w:before="120" w:after="40"/>
        <w:jc w:val="left"/>
      </w:pPr>
      <w:r>
        <w:rPr>
          <w:rFonts w:ascii="Times New Roman" w:hAnsi="Times New Roman"/>
          <w:b/>
          <w:i/>
          <w:sz w:val="20"/>
        </w:rPr>
        <w:t>E. Decision-Support Layer</w:t>
      </w:r>
    </w:p>
    <w:p>
      <w:pPr>
        <w:spacing w:after="60" w:line="240" w:lineRule="auto"/>
        <w:ind w:firstLine="202"/>
        <w:jc w:val="both"/>
      </w:pPr>
      <w:r>
        <w:rPr>
          <w:rFonts w:ascii="Times New Roman" w:hAnsi="Times New Roman"/>
          <w:sz w:val="20"/>
        </w:rPr>
        <w:t>Power BI will serve as the presentation layer. Planned views include an executive project-health page, schedule-performance analysis, cost-performance analysis, and a delay-risk page. Visual elements will include KPI cards, planned-versus-earned-versus-actual trends, risk distributions, activity tables, and filters by project, WBS, trade, contractor, and reporting date. Dashboard design choices will be informed by the construction dashboard literature, particularly the emphasis on interactivity, current data, and usability [6], [7].</w:t>
      </w:r>
    </w:p>
    <w:p>
      <w:pPr>
        <w:spacing w:before="120" w:after="40"/>
        <w:jc w:val="left"/>
      </w:pPr>
      <w:r>
        <w:rPr>
          <w:rFonts w:ascii="Times New Roman" w:hAnsi="Times New Roman"/>
          <w:b/>
          <w:i/>
          <w:sz w:val="20"/>
        </w:rPr>
        <w:t>F. Containerization and Orchestration</w:t>
      </w:r>
    </w:p>
    <w:p>
      <w:pPr>
        <w:spacing w:after="60" w:line="240" w:lineRule="auto"/>
        <w:ind w:firstLine="202"/>
        <w:jc w:val="both"/>
      </w:pPr>
      <w:r>
        <w:rPr>
          <w:rFonts w:ascii="Times New Roman" w:hAnsi="Times New Roman"/>
          <w:sz w:val="20"/>
        </w:rPr>
        <w:t>Docker is proposed to package the ingestion, analytics, and risk services with explicit dependencies and configuration. Kubernetes is the planned orchestration layer for deployment, service discovery, health checks, scaling, secrets management, and persistent storage. At the current stage these capabilities are architectural targets rather than experimentally validated behaviors; actual resource requirements and deployment policies will be determined after the application services stabilize.</w:t>
      </w:r>
    </w:p>
    <w:p>
      <w:pPr>
        <w:spacing w:before="200" w:after="60"/>
        <w:jc w:val="center"/>
      </w:pPr>
      <w:r>
        <w:rPr>
          <w:rFonts w:ascii="Times New Roman" w:hAnsi="Times New Roman"/>
          <w:b/>
          <w:sz w:val="20"/>
        </w:rPr>
        <w:t>V. DATA AND METHODOLOGY</w:t>
      </w:r>
    </w:p>
    <w:p>
      <w:pPr>
        <w:spacing w:before="120" w:after="40"/>
        <w:jc w:val="left"/>
      </w:pPr>
      <w:r>
        <w:rPr>
          <w:rFonts w:ascii="Times New Roman" w:hAnsi="Times New Roman"/>
          <w:b/>
          <w:i/>
          <w:sz w:val="20"/>
        </w:rPr>
        <w:t>A. Dataset Strategy</w:t>
      </w:r>
    </w:p>
    <w:p>
      <w:pPr>
        <w:spacing w:after="60" w:line="240" w:lineRule="auto"/>
        <w:ind w:firstLine="202"/>
        <w:jc w:val="both"/>
      </w:pPr>
      <w:r>
        <w:rPr>
          <w:rFonts w:ascii="Times New Roman" w:hAnsi="Times New Roman"/>
          <w:sz w:val="20"/>
        </w:rPr>
        <w:t>The final dataset has not yet been fixed. The project will first audit candidate construction datasets for schedule, progress, cost, resource, and contextual variables and then select a dataset whose structure can support both descriptive project control and predictive modeling. If a suitable real project dataset is unavailable, a clearly documented synthetic or benchmark dataset may be used for prototyping, with its provenance and limitations explicitly stated. Dataset size, project count, time coverage, feature definitions, missing-value rates, class balance, and target-label construction will be reported in the completed paper.</w:t>
      </w:r>
    </w:p>
    <w:p>
      <w:pPr>
        <w:spacing w:before="120" w:after="40"/>
        <w:jc w:val="left"/>
      </w:pPr>
      <w:r>
        <w:rPr>
          <w:rFonts w:ascii="Times New Roman" w:hAnsi="Times New Roman"/>
          <w:b/>
          <w:i/>
          <w:sz w:val="20"/>
        </w:rPr>
        <w:t>B. Preprocessing and Feature Engineering</w:t>
      </w:r>
    </w:p>
    <w:p>
      <w:pPr>
        <w:spacing w:after="60" w:line="240" w:lineRule="auto"/>
        <w:ind w:firstLine="202"/>
        <w:jc w:val="both"/>
      </w:pPr>
      <w:r>
        <w:rPr>
          <w:rFonts w:ascii="Times New Roman" w:hAnsi="Times New Roman"/>
          <w:sz w:val="20"/>
        </w:rPr>
        <w:t>The planned preprocessing workflow includes schema validation, date normalization, missing-value treatment, duplicate detection, categorical encoding, numerical scaling where required, and outlier review. Feature engineering will focus on indicators that can be calculated consistently across reporting periods. Temporal leakage will be explicitly controlled: features used to predict a future delay must be derived only from information that would have been available at the prediction time. This is important because an apparently accurate delay classifier can be invalid if future information is inadvertently included during training.</w:t>
      </w:r>
    </w:p>
    <w:p>
      <w:pPr>
        <w:spacing w:before="120" w:after="40"/>
        <w:jc w:val="left"/>
      </w:pPr>
      <w:r>
        <w:rPr>
          <w:rFonts w:ascii="Times New Roman" w:hAnsi="Times New Roman"/>
          <w:b/>
          <w:i/>
          <w:sz w:val="20"/>
        </w:rPr>
        <w:t>C. Earned Value Management</w:t>
      </w:r>
    </w:p>
    <w:p>
      <w:pPr>
        <w:spacing w:after="60" w:line="240" w:lineRule="auto"/>
        <w:ind w:firstLine="202"/>
        <w:jc w:val="both"/>
      </w:pPr>
      <w:r>
        <w:rPr>
          <w:rFonts w:ascii="Times New Roman" w:hAnsi="Times New Roman"/>
          <w:sz w:val="20"/>
        </w:rPr>
        <w:t>The proposed project-control layer will compute standard EVM indicators from planned value (PV), earned value (EV), actual cost (AC), and budget at completion (BAC).</w:t>
      </w:r>
    </w:p>
    <w:p>
      <w:pPr>
        <w:tabs>
          <w:tab w:pos="4392" w:val="right"/>
        </w:tabs>
        <w:spacing w:before="20" w:after="20"/>
        <w:ind w:left="72"/>
        <w:jc w:val="left"/>
      </w:pPr>
      <w:r>
        <w:rPr>
          <w:rFonts w:ascii="Times New Roman" w:hAnsi="Times New Roman"/>
          <w:i/>
          <w:sz w:val="18"/>
        </w:rPr>
        <w:t>CV = EV - AC</w:t>
        <w:tab/>
        <w:t>(1)</w:t>
      </w:r>
    </w:p>
    <w:p>
      <w:pPr>
        <w:tabs>
          <w:tab w:pos="4392" w:val="right"/>
        </w:tabs>
        <w:spacing w:before="20" w:after="20"/>
        <w:ind w:left="72"/>
        <w:jc w:val="left"/>
      </w:pPr>
      <w:r>
        <w:rPr>
          <w:rFonts w:ascii="Times New Roman" w:hAnsi="Times New Roman"/>
          <w:i/>
          <w:sz w:val="18"/>
        </w:rPr>
        <w:t>SV = EV - PV</w:t>
        <w:tab/>
        <w:t>(2)</w:t>
      </w:r>
    </w:p>
    <w:p>
      <w:pPr>
        <w:tabs>
          <w:tab w:pos="4392" w:val="right"/>
        </w:tabs>
        <w:spacing w:before="20" w:after="20"/>
        <w:ind w:left="72"/>
        <w:jc w:val="left"/>
      </w:pPr>
      <w:r>
        <w:rPr>
          <w:rFonts w:ascii="Times New Roman" w:hAnsi="Times New Roman"/>
          <w:i/>
          <w:sz w:val="18"/>
        </w:rPr>
        <w:t>CPI = EV / AC</w:t>
        <w:tab/>
        <w:t>(3)</w:t>
      </w:r>
    </w:p>
    <w:p>
      <w:pPr>
        <w:tabs>
          <w:tab w:pos="4392" w:val="right"/>
        </w:tabs>
        <w:spacing w:before="20" w:after="20"/>
        <w:ind w:left="72"/>
        <w:jc w:val="left"/>
      </w:pPr>
      <w:r>
        <w:rPr>
          <w:rFonts w:ascii="Times New Roman" w:hAnsi="Times New Roman"/>
          <w:i/>
          <w:sz w:val="18"/>
        </w:rPr>
        <w:t>SPI = EV / PV</w:t>
        <w:tab/>
        <w:t>(4)</w:t>
      </w:r>
    </w:p>
    <w:p>
      <w:pPr>
        <w:tabs>
          <w:tab w:pos="4392" w:val="right"/>
        </w:tabs>
        <w:spacing w:before="20" w:after="20"/>
        <w:ind w:left="72"/>
        <w:jc w:val="left"/>
      </w:pPr>
      <w:r>
        <w:rPr>
          <w:rFonts w:ascii="Times New Roman" w:hAnsi="Times New Roman"/>
          <w:i/>
          <w:sz w:val="18"/>
        </w:rPr>
        <w:t>EAC = BAC / CPI</w:t>
        <w:tab/>
        <w:t>(5)</w:t>
      </w:r>
    </w:p>
    <w:p>
      <w:pPr>
        <w:tabs>
          <w:tab w:pos="4392" w:val="right"/>
        </w:tabs>
        <w:spacing w:before="20" w:after="20"/>
        <w:ind w:left="72"/>
        <w:jc w:val="left"/>
      </w:pPr>
      <w:r>
        <w:rPr>
          <w:rFonts w:ascii="Times New Roman" w:hAnsi="Times New Roman"/>
          <w:i/>
          <w:sz w:val="18"/>
        </w:rPr>
        <w:t>TEAC = Planned Duration / SPI</w:t>
        <w:tab/>
        <w:t>(6)</w:t>
      </w:r>
    </w:p>
    <w:p>
      <w:pPr>
        <w:spacing w:after="60" w:line="240" w:lineRule="auto"/>
        <w:ind w:firstLine="202"/>
        <w:jc w:val="both"/>
      </w:pPr>
      <w:r>
        <w:rPr>
          <w:rFonts w:ascii="Times New Roman" w:hAnsi="Times New Roman"/>
          <w:sz w:val="20"/>
        </w:rPr>
        <w:t>These measures are intended to provide the baseline descriptive layer against which predictive outputs can be interpreted. The completed implementation will verify the formulas against representative records and confirm how zero or near-zero denominators are handled.</w:t>
      </w:r>
    </w:p>
    <w:p>
      <w:pPr>
        <w:spacing w:before="120" w:after="40"/>
        <w:jc w:val="left"/>
      </w:pPr>
      <w:r>
        <w:rPr>
          <w:rFonts w:ascii="Times New Roman" w:hAnsi="Times New Roman"/>
          <w:b/>
          <w:i/>
          <w:sz w:val="20"/>
        </w:rPr>
        <w:t>D. Delay-Risk Label and Model Candidates</w:t>
      </w:r>
    </w:p>
    <w:p>
      <w:pPr>
        <w:spacing w:after="60" w:line="240" w:lineRule="auto"/>
        <w:ind w:firstLine="202"/>
        <w:jc w:val="both"/>
      </w:pPr>
      <w:r>
        <w:rPr>
          <w:rFonts w:ascii="Times New Roman" w:hAnsi="Times New Roman"/>
          <w:sz w:val="20"/>
        </w:rPr>
        <w:t>A binary delay target is proposed for the initial prototype: an activity is labelled as delayed when actual completion exceeds the planned completion time by more than a defined buffer threshold tau. The exact threshold will be determined from the dataset and project-control context rather than assumed in advance.</w:t>
      </w:r>
    </w:p>
    <w:p>
      <w:pPr>
        <w:tabs>
          <w:tab w:pos="4392" w:val="right"/>
        </w:tabs>
        <w:spacing w:before="20" w:after="20"/>
        <w:ind w:left="72"/>
        <w:jc w:val="left"/>
      </w:pPr>
      <w:r>
        <w:rPr>
          <w:rFonts w:ascii="Times New Roman" w:hAnsi="Times New Roman"/>
          <w:i/>
          <w:sz w:val="18"/>
        </w:rPr>
        <w:t>y_i = 1 if (Actual Finish_i - Planned Finish_i) &gt; tau, else 0</w:t>
        <w:tab/>
        <w:t>(7)</w:t>
      </w:r>
    </w:p>
    <w:p>
      <w:pPr>
        <w:spacing w:after="60" w:line="240" w:lineRule="auto"/>
        <w:ind w:firstLine="202"/>
        <w:jc w:val="both"/>
      </w:pPr>
      <w:r>
        <w:rPr>
          <w:rFonts w:ascii="Times New Roman" w:hAnsi="Times New Roman"/>
          <w:sz w:val="20"/>
        </w:rPr>
        <w:t>Candidate models include Logistic Regression as a transparent baseline, Decision Tree for rule-based interpretability, Random Forest for nonlinear ensemble learning, and XGBoost for boosted-tree comparison. The literature provides precedent for ensemble and tree-based approaches [3], [4], [5]. Final model selection will be based on the experimental results rather than being predetermined in the present work-in-progress manuscript.</w:t>
      </w:r>
    </w:p>
    <w:p>
      <w:pPr>
        <w:spacing w:before="120" w:after="40"/>
        <w:jc w:val="left"/>
      </w:pPr>
      <w:r>
        <w:rPr>
          <w:rFonts w:ascii="Times New Roman" w:hAnsi="Times New Roman"/>
          <w:b/>
          <w:i/>
          <w:sz w:val="20"/>
        </w:rPr>
        <w:t>E. Evaluation Design</w:t>
      </w:r>
    </w:p>
    <w:p>
      <w:pPr>
        <w:spacing w:after="60" w:line="240" w:lineRule="auto"/>
        <w:ind w:firstLine="202"/>
        <w:jc w:val="both"/>
      </w:pPr>
      <w:r>
        <w:rPr>
          <w:rFonts w:ascii="Times New Roman" w:hAnsi="Times New Roman"/>
          <w:sz w:val="20"/>
        </w:rPr>
        <w:t>The evaluation will use a reproducible train-validation-test strategy appropriate to the temporal structure of the data. Where repeated reporting periods exist, a time-aware split will be preferred over random shuffling to reduce temporal leakage. Model evaluation will report accuracy, precision, recall, F1-score, and ROC-AUC, together with a confusion matrix and, where meaningful, calibration analysis. For highly imbalanced delay labels, precision-recall analysis and class-weighting or resampling strategies will also be considered.</w:t>
      </w:r>
    </w:p>
    <w:p>
      <w:pPr>
        <w:spacing w:before="200" w:after="60"/>
        <w:jc w:val="center"/>
      </w:pPr>
      <w:r>
        <w:rPr>
          <w:rFonts w:ascii="Times New Roman" w:hAnsi="Times New Roman"/>
          <w:b/>
          <w:sz w:val="20"/>
        </w:rPr>
        <w:t>VI. WORK-IN-PROGRESS IMPLEMENTATION STATUS</w:t>
      </w:r>
    </w:p>
    <w:p>
      <w:pPr>
        <w:spacing w:before="120" w:after="40"/>
        <w:jc w:val="left"/>
      </w:pPr>
      <w:r>
        <w:rPr>
          <w:rFonts w:ascii="Times New Roman" w:hAnsi="Times New Roman"/>
          <w:b/>
          <w:i/>
          <w:sz w:val="20"/>
        </w:rPr>
        <w:t>A. Current Stage</w:t>
      </w:r>
    </w:p>
    <w:p>
      <w:pPr>
        <w:spacing w:after="60" w:line="240" w:lineRule="auto"/>
        <w:ind w:firstLine="202"/>
        <w:jc w:val="both"/>
      </w:pPr>
      <w:r>
        <w:rPr>
          <w:rFonts w:ascii="Times New Roman" w:hAnsi="Times New Roman"/>
          <w:sz w:val="20"/>
        </w:rPr>
        <w:t>The project is currently at the design and early implementation stage. The literature synthesis, research gap, conceptual architecture, proposed analytics workflow, and evaluation plan are being established first so that the later implementation can be aligned with the research questions. The empirical dataset audit, complete model training, integrated Power BI dashboard, and Kubernetes deployment experiments remain pending.</w:t>
      </w:r>
    </w:p>
    <w:p>
      <w:pPr>
        <w:spacing w:before="120" w:after="40"/>
        <w:jc w:val="left"/>
      </w:pPr>
      <w:r>
        <w:rPr>
          <w:rFonts w:ascii="Times New Roman" w:hAnsi="Times New Roman"/>
          <w:b/>
          <w:i/>
          <w:sz w:val="20"/>
        </w:rPr>
        <w:t>B. Planned Development Sequence</w:t>
      </w:r>
    </w:p>
    <w:p>
      <w:pPr>
        <w:spacing w:after="60" w:line="240" w:lineRule="auto"/>
        <w:ind w:firstLine="202"/>
        <w:jc w:val="both"/>
      </w:pPr>
      <w:r>
        <w:rPr>
          <w:rFonts w:ascii="Times New Roman" w:hAnsi="Times New Roman"/>
          <w:sz w:val="20"/>
        </w:rPr>
        <w:t>The implementation sequence is planned as follows: first, acquire and audit the final dataset; second, build the preprocessing and EVM calculations; third, construct and compare the candidate prediction models; fourth, prepare the PostgreSQL analytical schema and Power BI views; fifth, containerize the stable services with Docker; and finally, deploy the required services to Kubernetes and conduct repeatability and resilience tests. Results will be inserted into the manuscript only after each stage produces verifiable outputs.</w:t>
      </w:r>
    </w:p>
    <w:p>
      <w:pPr>
        <w:spacing w:before="80" w:after="40"/>
        <w:jc w:val="center"/>
      </w:pPr>
      <w:r>
        <w:rPr>
          <w:rFonts w:ascii="Times New Roman" w:hAnsi="Times New Roman"/>
          <w:b/>
          <w:sz w:val="16"/>
        </w:rPr>
        <w:t>TABLE II. PLANNED EVALUATION FRAMEWORK</w:t>
      </w:r>
    </w:p>
    <w:tbl>
      <w:tblPr>
        <w:tblW w:type="dxa" w:w="4608"/>
        <w:jc w:val="center"/>
        <w:tblLayout w:type="fixed"/>
        <w:tblLook w:firstColumn="1" w:firstRow="1" w:lastColumn="0" w:lastRow="0" w:noHBand="0" w:noVBand="1" w:val="04A0"/>
      </w:tblPr>
      <w:tblGrid>
        <w:gridCol w:w="5061"/>
        <w:gridCol w:w="5061"/>
      </w:tblGrid>
      <w:tr>
        <w:trPr>
          <w:tblHeader w:val="true"/>
        </w:trPr>
        <w:tc>
          <w:tcPr>
            <w:tcW w:type="dxa" w:w="1656"/>
          </w:tcPr>
          <w:p>
            <w:pPr>
              <w:jc w:val="center"/>
            </w:pPr>
            <w:r>
              <w:rPr>
                <w:rFonts w:ascii="Times New Roman" w:hAnsi="Times New Roman"/>
                <w:b/>
                <w:sz w:val="14"/>
              </w:rPr>
              <w:t>Evaluation area</w:t>
            </w:r>
          </w:p>
        </w:tc>
        <w:tc>
          <w:tcPr>
            <w:tcW w:type="dxa" w:w="2952"/>
          </w:tcPr>
          <w:p>
            <w:pPr>
              <w:jc w:val="center"/>
            </w:pPr>
            <w:r>
              <w:rPr>
                <w:rFonts w:ascii="Times New Roman" w:hAnsi="Times New Roman"/>
                <w:b/>
                <w:sz w:val="14"/>
              </w:rPr>
              <w:t>Planned measures and evidence</w:t>
            </w:r>
          </w:p>
        </w:tc>
      </w:tr>
      <w:tr>
        <w:tc>
          <w:tcPr>
            <w:tcW w:type="dxa" w:w="5061"/>
            <w:vAlign w:val="top"/>
          </w:tcPr>
          <w:p>
            <w:r>
              <w:rPr>
                <w:rFonts w:ascii="Times New Roman" w:hAnsi="Times New Roman"/>
                <w:sz w:val="14"/>
              </w:rPr>
              <w:t>Data engineering</w:t>
            </w:r>
          </w:p>
        </w:tc>
        <w:tc>
          <w:tcPr>
            <w:tcW w:type="dxa" w:w="5061"/>
            <w:vAlign w:val="top"/>
          </w:tcPr>
          <w:p>
            <w:r>
              <w:rPr>
                <w:rFonts w:ascii="Times New Roman" w:hAnsi="Times New Roman"/>
                <w:sz w:val="14"/>
              </w:rPr>
              <w:t>Missingness, duplicates, schema validity, ingestion consistency; dataset profile and validation summary.</w:t>
            </w:r>
          </w:p>
        </w:tc>
      </w:tr>
      <w:tr>
        <w:tc>
          <w:tcPr>
            <w:tcW w:type="dxa" w:w="5061"/>
            <w:vAlign w:val="top"/>
          </w:tcPr>
          <w:p>
            <w:r>
              <w:rPr>
                <w:rFonts w:ascii="Times New Roman" w:hAnsi="Times New Roman"/>
                <w:sz w:val="14"/>
              </w:rPr>
              <w:t>Project control</w:t>
            </w:r>
          </w:p>
        </w:tc>
        <w:tc>
          <w:tcPr>
            <w:tcW w:type="dxa" w:w="5061"/>
            <w:vAlign w:val="top"/>
          </w:tcPr>
          <w:p>
            <w:r>
              <w:rPr>
                <w:rFonts w:ascii="Times New Roman" w:hAnsi="Times New Roman"/>
                <w:sz w:val="14"/>
              </w:rPr>
              <w:t>CV, SV, CPI, SPI, EAC, TEAC; sample calculations and trend visuals.</w:t>
            </w:r>
          </w:p>
        </w:tc>
      </w:tr>
      <w:tr>
        <w:tc>
          <w:tcPr>
            <w:tcW w:type="dxa" w:w="5061"/>
            <w:vAlign w:val="top"/>
          </w:tcPr>
          <w:p>
            <w:r>
              <w:rPr>
                <w:rFonts w:ascii="Times New Roman" w:hAnsi="Times New Roman"/>
                <w:sz w:val="14"/>
              </w:rPr>
              <w:t>ML prediction</w:t>
            </w:r>
          </w:p>
        </w:tc>
        <w:tc>
          <w:tcPr>
            <w:tcW w:type="dxa" w:w="5061"/>
            <w:vAlign w:val="top"/>
          </w:tcPr>
          <w:p>
            <w:r>
              <w:rPr>
                <w:rFonts w:ascii="Times New Roman" w:hAnsi="Times New Roman"/>
                <w:sz w:val="14"/>
              </w:rPr>
              <w:t>Accuracy, precision, recall, F1, ROC-AUC, and confusion matrix; model comparison table and plots.</w:t>
            </w:r>
          </w:p>
        </w:tc>
      </w:tr>
      <w:tr>
        <w:tc>
          <w:tcPr>
            <w:tcW w:type="dxa" w:w="5061"/>
            <w:vAlign w:val="top"/>
          </w:tcPr>
          <w:p>
            <w:r>
              <w:rPr>
                <w:rFonts w:ascii="Times New Roman" w:hAnsi="Times New Roman"/>
                <w:sz w:val="14"/>
              </w:rPr>
              <w:t>Risk analysis</w:t>
            </w:r>
          </w:p>
        </w:tc>
        <w:tc>
          <w:tcPr>
            <w:tcW w:type="dxa" w:w="5061"/>
            <w:vAlign w:val="top"/>
          </w:tcPr>
          <w:p>
            <w:r>
              <w:rPr>
                <w:rFonts w:ascii="Times New Roman" w:hAnsi="Times New Roman"/>
                <w:sz w:val="14"/>
              </w:rPr>
              <w:t>Risk probabilities, calibration, and sensitivity to assumptions; risk-score and uncertainty analysis.</w:t>
            </w:r>
          </w:p>
        </w:tc>
      </w:tr>
      <w:tr>
        <w:tc>
          <w:tcPr>
            <w:tcW w:type="dxa" w:w="5061"/>
            <w:vAlign w:val="top"/>
          </w:tcPr>
          <w:p>
            <w:r>
              <w:rPr>
                <w:rFonts w:ascii="Times New Roman" w:hAnsi="Times New Roman"/>
                <w:sz w:val="14"/>
              </w:rPr>
              <w:t>Power BI</w:t>
            </w:r>
          </w:p>
        </w:tc>
        <w:tc>
          <w:tcPr>
            <w:tcW w:type="dxa" w:w="5061"/>
            <w:vAlign w:val="top"/>
          </w:tcPr>
          <w:p>
            <w:r>
              <w:rPr>
                <w:rFonts w:ascii="Times New Roman" w:hAnsi="Times New Roman"/>
                <w:sz w:val="14"/>
              </w:rPr>
              <w:t>Data refresh, filtering, KPI coverage, and usability observations; dashboard screenshots and interpretation.</w:t>
            </w:r>
          </w:p>
        </w:tc>
      </w:tr>
      <w:tr>
        <w:tc>
          <w:tcPr>
            <w:tcW w:type="dxa" w:w="5061"/>
            <w:vAlign w:val="top"/>
          </w:tcPr>
          <w:p>
            <w:r>
              <w:rPr>
                <w:rFonts w:ascii="Times New Roman" w:hAnsi="Times New Roman"/>
                <w:sz w:val="14"/>
              </w:rPr>
              <w:t>Docker/Kubernetes</w:t>
            </w:r>
          </w:p>
        </w:tc>
        <w:tc>
          <w:tcPr>
            <w:tcW w:type="dxa" w:w="5061"/>
            <w:vAlign w:val="top"/>
          </w:tcPr>
          <w:p>
            <w:r>
              <w:rPr>
                <w:rFonts w:ascii="Times New Roman" w:hAnsi="Times New Roman"/>
                <w:sz w:val="14"/>
              </w:rPr>
              <w:t>Build reproducibility, startup, restart, persistence, and scaling tests; deployment logs and measured observations.</w:t>
            </w:r>
          </w:p>
        </w:tc>
      </w:tr>
    </w:tbl>
    <w:p>
      <w:pPr>
        <w:spacing w:before="200" w:after="60"/>
        <w:jc w:val="center"/>
      </w:pPr>
      <w:r>
        <w:rPr>
          <w:rFonts w:ascii="Times New Roman" w:hAnsi="Times New Roman"/>
          <w:b/>
          <w:sz w:val="20"/>
        </w:rPr>
        <w:t>VII. EXPECTED OUTCOMES AND DISCUSSION</w:t>
      </w:r>
    </w:p>
    <w:p>
      <w:pPr>
        <w:spacing w:after="60" w:line="240" w:lineRule="auto"/>
        <w:ind w:firstLine="202"/>
        <w:jc w:val="both"/>
      </w:pPr>
      <w:r>
        <w:rPr>
          <w:rFonts w:ascii="Times New Roman" w:hAnsi="Times New Roman"/>
          <w:sz w:val="20"/>
        </w:rPr>
        <w:t>Because this manuscript documents an ongoing project, the expected outcomes are stated as evaluation targets rather than completed findings. First, the system is expected to establish a consistent analytical representation linking baseline schedule information, progress observations, and cost records. Second, the EVM layer is expected to provide transparent retrospective indicators that can be interpreted alongside predictive scores. Third, the machine-learning stage is expected to determine whether the selected project-control and contextual features contain sufficient signal for useful delay classification on the chosen dataset. The comparison across several model families is intended to reveal trade-offs between predictive performance and interpretability.</w:t>
      </w:r>
    </w:p>
    <w:p>
      <w:pPr>
        <w:spacing w:after="60" w:line="240" w:lineRule="auto"/>
        <w:ind w:firstLine="202"/>
        <w:jc w:val="both"/>
      </w:pPr>
      <w:r>
        <w:rPr>
          <w:rFonts w:ascii="Times New Roman" w:hAnsi="Times New Roman"/>
          <w:sz w:val="20"/>
        </w:rPr>
        <w:t>A further expected outcome is improved traceability between analytics and decision support. Instead of treating Power BI as a standalone visualization tool, the proposed architecture positions dashboards downstream of governed data and computed analytical outputs. This follows the integration logic suggested by the dashboard, BIM, and real-time-monitoring literature [2], [6], [7], [8]. A successful prototype should allow a project user to move from a portfolio-level KPI to the project, WBS element, or activity associated with the observed variance or risk signal.</w:t>
      </w:r>
    </w:p>
    <w:p>
      <w:pPr>
        <w:spacing w:after="60" w:line="240" w:lineRule="auto"/>
        <w:ind w:firstLine="202"/>
        <w:jc w:val="both"/>
      </w:pPr>
      <w:r>
        <w:rPr>
          <w:rFonts w:ascii="Times New Roman" w:hAnsi="Times New Roman"/>
          <w:sz w:val="20"/>
        </w:rPr>
        <w:t>Finally, the cloud-native layer is expected to improve reproducibility by separating software dependencies from the host environment. The completed implementation will determine whether Docker and Kubernetes add practical value for this project size and workload rather than assuming that more infrastructure automatically produces better performance. This distinction is important because the construction literature identifies data quality, integration, organizational readiness, and up-front investment as continuing barriers to digital adoption [1], [6], [10].</w:t>
      </w:r>
    </w:p>
    <w:p>
      <w:pPr>
        <w:spacing w:before="200" w:after="60"/>
        <w:jc w:val="center"/>
      </w:pPr>
      <w:r>
        <w:rPr>
          <w:rFonts w:ascii="Times New Roman" w:hAnsi="Times New Roman"/>
          <w:b/>
          <w:sz w:val="20"/>
        </w:rPr>
        <w:t>VIII. LIMITATIONS AND THREATS TO VALIDITY</w:t>
      </w:r>
    </w:p>
    <w:p>
      <w:pPr>
        <w:spacing w:after="60" w:line="240" w:lineRule="auto"/>
        <w:ind w:firstLine="202"/>
        <w:jc w:val="both"/>
      </w:pPr>
      <w:r>
        <w:rPr>
          <w:rFonts w:ascii="Times New Roman" w:hAnsi="Times New Roman"/>
          <w:sz w:val="20"/>
        </w:rPr>
        <w:t>The principal limitation at the current stage is the absence of completed empirical validation. Conclusions about predictive accuracy, dashboard effectiveness, or deployment resilience cannot be made until the implementation and experiments are finished. Dataset representativeness is another major concern: a model trained on a narrow project type or synthetic records may not generalize to different contractors, project scales, or geographic contexts.</w:t>
      </w:r>
    </w:p>
    <w:p>
      <w:pPr>
        <w:spacing w:after="60" w:line="240" w:lineRule="auto"/>
        <w:ind w:firstLine="202"/>
        <w:jc w:val="both"/>
      </w:pPr>
      <w:r>
        <w:rPr>
          <w:rFonts w:ascii="Times New Roman" w:hAnsi="Times New Roman"/>
          <w:sz w:val="20"/>
        </w:rPr>
        <w:t>Label construction is also a methodological risk. Delay definitions depend on the chosen buffer, reporting frequency, and availability of actual completion information. In addition, project data may contain missing or revised historical records, creating the possibility of temporal leakage or biased estimates if not handled carefully. Finally, probabilistic reliability analysis and full Kubernetes deployment may be reduced or deferred if their implementation complexity is disproportionate to the available project data and study scope. Any such scope change will be documented in the final paper rather than hidden.</w:t>
      </w:r>
    </w:p>
    <w:p>
      <w:pPr>
        <w:spacing w:before="200" w:after="60"/>
        <w:jc w:val="center"/>
      </w:pPr>
      <w:r>
        <w:rPr>
          <w:rFonts w:ascii="Times New Roman" w:hAnsi="Times New Roman"/>
          <w:b/>
          <w:sz w:val="20"/>
        </w:rPr>
        <w:t>IX. CONCLUSION AND FUTURE WORK</w:t>
      </w:r>
    </w:p>
    <w:p>
      <w:pPr>
        <w:spacing w:after="60" w:line="240" w:lineRule="auto"/>
        <w:ind w:firstLine="202"/>
        <w:jc w:val="both"/>
      </w:pPr>
      <w:r>
        <w:rPr>
          <w:rFonts w:ascii="Times New Roman" w:hAnsi="Times New Roman"/>
          <w:sz w:val="20"/>
        </w:rPr>
        <w:t>This work proposes a cloud-native construction project intelligence framework that brings together data engineering, project-control analytics, machine learning, business intelligence, and containerized deployment. The literature indicates that construction researchers have already demonstrated valuable capabilities in real-time monitoring, Power BI-based decision support, machine-learning delay prediction, earned-value-linked forecasting, and probabilistic schedule-risk analysis [1]-[9]. The research opportunity addressed here is their integration into a common, modular workflow that can evolve from a prototype to a reproducible analytical service.</w:t>
      </w:r>
    </w:p>
    <w:p>
      <w:pPr>
        <w:spacing w:after="60" w:line="240" w:lineRule="auto"/>
        <w:ind w:firstLine="202"/>
        <w:jc w:val="both"/>
      </w:pPr>
      <w:r>
        <w:rPr>
          <w:rFonts w:ascii="Times New Roman" w:hAnsi="Times New Roman"/>
          <w:sz w:val="20"/>
        </w:rPr>
        <w:t>At the present stage, the contribution is intentionally framed as a proposed and work-in-progress system. The next steps are dataset finalization, preprocessing, EVM implementation, predictive-model experiments, Power BI development, and Docker/Kubernetes deployment. The completed study will replace the current expected-outcome statements with measured evidence, discuss the limits of generalization, and assess whether the integrated architecture provides a practical basis for proactive construction delay and cost monitoring.</w:t>
      </w:r>
    </w:p>
    <w:p>
      <w:pPr>
        <w:spacing w:before="200" w:after="60"/>
        <w:jc w:val="center"/>
      </w:pPr>
      <w:r>
        <w:rPr>
          <w:rFonts w:ascii="Times New Roman" w:hAnsi="Times New Roman"/>
          <w:b/>
          <w:sz w:val="20"/>
        </w:rPr>
        <w:t>REFERENCES</w:t>
      </w:r>
    </w:p>
    <w:p>
      <w:pPr>
        <w:spacing w:after="40"/>
        <w:ind w:left="259" w:hanging="259"/>
        <w:jc w:val="both"/>
      </w:pPr>
      <w:r>
        <w:rPr>
          <w:rFonts w:ascii="Times New Roman" w:hAnsi="Times New Roman"/>
          <w:sz w:val="16"/>
        </w:rPr>
        <w:t>[1] K. Radman, M. B. Jelodar, R. Lovreglio, E. Ghazizadeh, and S. Wilkinson, “Digital technologies and data-driven delay management process for construction projects,” Front. Built Environ., vol. 8, Art. no. 1029586, 2022, doi: 10.3389/fbuil.2022.1029586.</w:t>
      </w:r>
    </w:p>
    <w:p>
      <w:pPr>
        <w:spacing w:after="40"/>
        <w:ind w:left="259" w:hanging="259"/>
        <w:jc w:val="both"/>
      </w:pPr>
      <w:r>
        <w:rPr>
          <w:rFonts w:ascii="Times New Roman" w:hAnsi="Times New Roman"/>
          <w:sz w:val="16"/>
        </w:rPr>
        <w:t>[2] K. Radman, M. B. Jelodar, and R. Lovreglio, “A digital monitoring, delay detection and visualisation framework for construction projects: RealCONs,” Autom. Constr., vol. 183, Art. no. 106781, 2026, doi: 10.1016/j.autcon.2026.106781.</w:t>
      </w:r>
    </w:p>
    <w:p>
      <w:pPr>
        <w:spacing w:after="40"/>
        <w:ind w:left="259" w:hanging="259"/>
        <w:jc w:val="both"/>
      </w:pPr>
      <w:r>
        <w:rPr>
          <w:rFonts w:ascii="Times New Roman" w:hAnsi="Times New Roman"/>
          <w:sz w:val="16"/>
        </w:rPr>
        <w:t>[3] C. N. Egwim, H. Alaka, L. O. Toriola-Coker, H. Balogun, and F. Sunmola, “Applied artificial intelligence for predicting construction projects delay,” Mach. Learn. Appl., vol. 6, Art. no. 100166, 2021, doi: 10.1016/j.mlwa.2021.100166.</w:t>
      </w:r>
    </w:p>
    <w:p>
      <w:pPr>
        <w:spacing w:after="40"/>
        <w:ind w:left="259" w:hanging="259"/>
        <w:jc w:val="both"/>
      </w:pPr>
      <w:r>
        <w:rPr>
          <w:rFonts w:ascii="Times New Roman" w:hAnsi="Times New Roman"/>
          <w:sz w:val="16"/>
        </w:rPr>
        <w:t>[4] S. Neththikumara, M. W. P. Maduranga, N. M. Narasinghe, and C. Jayalath, “Machine learning approaches for analyzing and predicting concurrent delays in construction projects,” Research Square preprint, 2025, doi: 10.21203/rs.3.rs-6125612/v1.</w:t>
      </w:r>
    </w:p>
    <w:p>
      <w:pPr>
        <w:spacing w:after="40"/>
        <w:ind w:left="259" w:hanging="259"/>
        <w:jc w:val="both"/>
      </w:pPr>
      <w:r>
        <w:rPr>
          <w:rFonts w:ascii="Times New Roman" w:hAnsi="Times New Roman"/>
          <w:sz w:val="16"/>
        </w:rPr>
        <w:t>[5] A. F. Restrepo Ramirez and C. A. Rua Machado, “Predicting delays and cost overruns in construction projects: A machine learning approach,” Revista EIA, vol. 22, no. 44, pp. 1–30, 2025, doi: 10.24050/reia.v22i44.1861.</w:t>
      </w:r>
    </w:p>
    <w:p>
      <w:pPr>
        <w:spacing w:after="40"/>
        <w:ind w:left="259" w:hanging="259"/>
        <w:jc w:val="both"/>
      </w:pPr>
      <w:r>
        <w:rPr>
          <w:rFonts w:ascii="Times New Roman" w:hAnsi="Times New Roman"/>
          <w:sz w:val="16"/>
        </w:rPr>
        <w:t>[6] S. Ghosh, N. Mukherjee, and T. McCuen, “Use of visual dashboards in construction projects,” in Proc. 60th Annual Associated Schools of Construction International Conference, EPiC Series in Built Environment, vol. 5, pp. 486–494, 2024.</w:t>
      </w:r>
    </w:p>
    <w:p>
      <w:pPr>
        <w:spacing w:after="40"/>
        <w:ind w:left="259" w:hanging="259"/>
        <w:jc w:val="both"/>
      </w:pPr>
      <w:r>
        <w:rPr>
          <w:rFonts w:ascii="Times New Roman" w:hAnsi="Times New Roman"/>
          <w:sz w:val="16"/>
        </w:rPr>
        <w:t>[7] H. Abdulaziz and H. M. Ahmed, “A customized business intelligence dashboard utilizing building information modeling for better control and management of construction projects,” Buildings, vol. 16, no. 7, Art. no. 1318, 2026, doi: 10.3390/buildings16071318.</w:t>
      </w:r>
    </w:p>
    <w:p>
      <w:pPr>
        <w:spacing w:after="40"/>
        <w:ind w:left="259" w:hanging="259"/>
        <w:jc w:val="both"/>
      </w:pPr>
      <w:r>
        <w:rPr>
          <w:rFonts w:ascii="Times New Roman" w:hAnsi="Times New Roman"/>
          <w:sz w:val="16"/>
        </w:rPr>
        <w:t>[8] R. Gajera, “Integrating Power BI with project control systems: Enhancing real-time cost tracking and visualization in construction,” Int. J. Sci. Res. Civil Eng., vol. 7, no. 5, pp. 154–160, 2023, doi: 10.32628/IJSRCE123761.</w:t>
      </w:r>
    </w:p>
    <w:p>
      <w:pPr>
        <w:spacing w:after="40"/>
        <w:ind w:left="259" w:hanging="259"/>
        <w:jc w:val="both"/>
      </w:pPr>
      <w:r>
        <w:rPr>
          <w:rFonts w:ascii="Times New Roman" w:hAnsi="Times New Roman"/>
          <w:sz w:val="16"/>
        </w:rPr>
        <w:t>[9] S. Zhang and X. Wang, “Quantifying schedule delay risk in construction projects: A data-driven approach with BIM and probabilistic reliability analysis,” Adv. Civil Eng., vol. 2023, Art. no. 5525655, 2023, doi: 10.1155/2023/5525655.</w:t>
      </w:r>
    </w:p>
    <w:p>
      <w:pPr>
        <w:spacing w:after="40"/>
        <w:ind w:left="259" w:hanging="259"/>
        <w:jc w:val="both"/>
      </w:pPr>
      <w:r>
        <w:rPr>
          <w:rFonts w:ascii="Times New Roman" w:hAnsi="Times New Roman"/>
          <w:sz w:val="16"/>
        </w:rPr>
        <w:t>[10] J. West, M. Siddhpura, A. Evangelista, and A. Haddad, “Building condition auditing (BCA)—Improving auditability—Reducing ambiguity,” Buildings, vol. 14, Art. no. 3645, 2024, doi: 10.3390/buildings14113645.</w:t>
      </w:r>
    </w:p>
    <w:sectPr w:rsidR="00FC693F" w:rsidRPr="0006063C" w:rsidSect="00034616">
      <w:type w:val="continuous"/>
      <w:pgSz w:w="11909" w:h="16834"/>
      <w:pgMar w:top="1080" w:right="893" w:bottom="1368" w:left="893"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