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tl w:val="0"/>
        </w:rPr>
        <w:t xml:space="preserve">The data deposited here are grouped into the following categories.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ARPES data: photoemission intensity maps collected at SSRL beamline 5 and ALS beamline 7. Used to generate figures 3, S4, S6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XRD data: synchrotron x-ray diffraction data collected at CHEXS beamline 4. Used to generate figures 2, 4, S2, S3. Naming convention is that TNSS+number, where the number is the percentage of S-doping.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DFT data: first principles calculation data. Used to generate figures 2, 3, S7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 data: exact diagonalization and mean-field calculation data. Used to generate figures 4, S8, S9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characterizations: resistivity as measured from 4-probe methods in a PPMS (Quantum Design), EDX for composition characterization. Used to generate figures 1, S1, S5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