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A9AB" w14:textId="11468292" w:rsidR="005E2700" w:rsidRDefault="00C606A0" w:rsidP="00A00A22">
      <w:pPr>
        <w:pStyle w:val="Title"/>
      </w:pPr>
      <w:r w:rsidRPr="00C606A0">
        <w:rPr>
          <w:i/>
          <w:iCs/>
        </w:rPr>
        <w:t>Football</w:t>
      </w:r>
      <w:r>
        <w:rPr>
          <w:i/>
          <w:iCs/>
        </w:rPr>
        <w:t>_</w:t>
      </w:r>
      <w:r w:rsidRPr="00C606A0">
        <w:rPr>
          <w:i/>
          <w:iCs/>
        </w:rPr>
        <w:t>MetriX</w:t>
      </w:r>
      <w:r>
        <w:t xml:space="preserve">: </w:t>
      </w:r>
      <w:r w:rsidR="00A00A22">
        <w:t>Análisis de Resultados por Bombos y Posiciones</w:t>
      </w:r>
      <w:r>
        <w:t xml:space="preserve"> de Rusia para Qatar</w:t>
      </w:r>
    </w:p>
    <w:p w14:paraId="12A2D747" w14:textId="297DA627" w:rsidR="00A00A22" w:rsidRPr="00B112B8" w:rsidRDefault="006A015C" w:rsidP="00A00A22">
      <w:pPr>
        <w:rPr>
          <w:i/>
          <w:iCs/>
        </w:rPr>
      </w:pPr>
      <w:r w:rsidRPr="00B112B8">
        <w:rPr>
          <w:i/>
          <w:iCs/>
        </w:rPr>
        <w:t>Para elaborar el siguiente estudio</w:t>
      </w:r>
      <w:r w:rsidRPr="00B112B8">
        <w:rPr>
          <w:i/>
          <w:iCs/>
        </w:rPr>
        <w:t xml:space="preserve"> recopilé datos del mundial Rusia 2018 y empleé la base de datos de resultados de partidos y apuestas deportivas </w:t>
      </w:r>
      <w:r w:rsidRPr="00B112B8">
        <w:rPr>
          <w:i/>
          <w:iCs/>
        </w:rPr>
        <w:t>de Football-data.co.uk</w:t>
      </w:r>
      <w:r w:rsidRPr="00B112B8">
        <w:rPr>
          <w:i/>
          <w:iCs/>
        </w:rPr>
        <w:t xml:space="preserve"> con el </w:t>
      </w:r>
      <w:r w:rsidRPr="00B112B8">
        <w:rPr>
          <w:i/>
          <w:iCs/>
        </w:rPr>
        <w:t xml:space="preserve">permiso </w:t>
      </w:r>
      <w:r w:rsidRPr="00B112B8">
        <w:rPr>
          <w:i/>
          <w:iCs/>
        </w:rPr>
        <w:t>de</w:t>
      </w:r>
      <w:r w:rsidRPr="00B112B8">
        <w:rPr>
          <w:i/>
          <w:iCs/>
        </w:rPr>
        <w:t xml:space="preserve"> Joseph Buchdahl. El tratamiento de datos fue hecho con Python 3.9.7.</w:t>
      </w:r>
    </w:p>
    <w:p w14:paraId="545BEA6D" w14:textId="1CD3508D" w:rsidR="006A015C" w:rsidRDefault="006A015C" w:rsidP="00A00A22">
      <w:r>
        <w:t>El formato de</w:t>
      </w:r>
      <w:r w:rsidR="00B112B8">
        <w:t>l sorteo para el mundial, establecido a partir del Ranking FIFA, se mantuvo por primera vez en dos mundiales consecutivos y parece un momento propicio para echar una mirada a los resultados de Rusia 2018. Tom</w:t>
      </w:r>
      <w:r w:rsidR="00B65567">
        <w:t>ando</w:t>
      </w:r>
      <w:r w:rsidR="00B112B8">
        <w:t xml:space="preserve"> </w:t>
      </w:r>
      <w:r w:rsidR="00B65567">
        <w:t>a</w:t>
      </w:r>
      <w:r w:rsidR="00B112B8">
        <w:t xml:space="preserve">l sorteo </w:t>
      </w:r>
      <w:r w:rsidR="00B65567">
        <w:t>llevado a cabo en el</w:t>
      </w:r>
      <w:r w:rsidR="00C606A0">
        <w:t xml:space="preserve"> </w:t>
      </w:r>
      <w:r w:rsidR="00B65567">
        <w:t>Kremlin, en septiembre de 2017 en Moscú,</w:t>
      </w:r>
      <w:r w:rsidR="00B112B8">
        <w:t xml:space="preserve"> observemos cuál fue el récord acumulado de los 8 equipos de cada bombo</w:t>
      </w:r>
      <w:r w:rsidR="00B65567">
        <w:t xml:space="preserve"> en la primera fase</w:t>
      </w:r>
      <w:r w:rsidR="00B112B8">
        <w:t>:</w:t>
      </w:r>
    </w:p>
    <w:p w14:paraId="55AF2B16" w14:textId="1264422C" w:rsidR="00B112B8" w:rsidRDefault="00B112B8" w:rsidP="0029530A">
      <w:pPr>
        <w:jc w:val="center"/>
      </w:pPr>
      <w:r>
        <w:rPr>
          <w:noProof/>
        </w:rPr>
        <w:drawing>
          <wp:inline distT="0" distB="0" distL="0" distR="0" wp14:anchorId="169E1EF5" wp14:editId="48E3710C">
            <wp:extent cx="5836920" cy="362648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36920" cy="3626485"/>
                    </a:xfrm>
                    <a:prstGeom prst="rect">
                      <a:avLst/>
                    </a:prstGeom>
                    <a:noFill/>
                    <a:ln>
                      <a:noFill/>
                    </a:ln>
                  </pic:spPr>
                </pic:pic>
              </a:graphicData>
            </a:graphic>
          </wp:inline>
        </w:drawing>
      </w:r>
    </w:p>
    <w:p w14:paraId="3ADC77F8" w14:textId="522AFE72" w:rsidR="00B65567" w:rsidRDefault="00B65567" w:rsidP="00B65567">
      <w:pPr>
        <w:ind w:firstLine="708"/>
      </w:pPr>
      <w:r>
        <w:t>Ahora echemos un vistazo a la siguiente gráfica que muestra el porcentaje de goles anotados</w:t>
      </w:r>
      <w:r>
        <w:t xml:space="preserve"> y recibidos</w:t>
      </w:r>
      <w:r>
        <w:t xml:space="preserve"> por los equipos de cada bombo en la primera fase:</w:t>
      </w:r>
    </w:p>
    <w:p w14:paraId="4DAB2802" w14:textId="2F139D57" w:rsidR="00B65567" w:rsidRDefault="00B65567" w:rsidP="0029530A">
      <w:pPr>
        <w:jc w:val="center"/>
      </w:pPr>
      <w:r>
        <w:rPr>
          <w:noProof/>
        </w:rPr>
        <w:lastRenderedPageBreak/>
        <w:drawing>
          <wp:inline distT="0" distB="0" distL="0" distR="0" wp14:anchorId="108398DB" wp14:editId="078C5E8B">
            <wp:extent cx="6484620" cy="380746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4620" cy="3807460"/>
                    </a:xfrm>
                    <a:prstGeom prst="rect">
                      <a:avLst/>
                    </a:prstGeom>
                    <a:noFill/>
                    <a:ln>
                      <a:noFill/>
                    </a:ln>
                  </pic:spPr>
                </pic:pic>
              </a:graphicData>
            </a:graphic>
          </wp:inline>
        </w:drawing>
      </w:r>
    </w:p>
    <w:p w14:paraId="1E87D7D7" w14:textId="00FD915E" w:rsidR="00B65567" w:rsidRDefault="00B65567" w:rsidP="00B65567">
      <w:pPr>
        <w:ind w:firstLine="708"/>
      </w:pPr>
      <w:r>
        <w:t xml:space="preserve">Antes de saltar a plantear algunas observaciones, veamos la siguiente gráfica que muestra cómo se distribuyeron las posiciones por bombo en la fase de grupos de Rusia 2018: </w:t>
      </w:r>
    </w:p>
    <w:p w14:paraId="4E2DC32E" w14:textId="0460CB69" w:rsidR="00B65567" w:rsidRDefault="00B65567" w:rsidP="0029530A">
      <w:pPr>
        <w:jc w:val="center"/>
      </w:pPr>
      <w:r>
        <w:rPr>
          <w:noProof/>
        </w:rPr>
        <w:drawing>
          <wp:inline distT="0" distB="0" distL="0" distR="0" wp14:anchorId="57BCC330" wp14:editId="7EEA7A3F">
            <wp:extent cx="5837555" cy="381127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7555" cy="3811270"/>
                    </a:xfrm>
                    <a:prstGeom prst="rect">
                      <a:avLst/>
                    </a:prstGeom>
                    <a:noFill/>
                    <a:ln>
                      <a:noFill/>
                    </a:ln>
                  </pic:spPr>
                </pic:pic>
              </a:graphicData>
            </a:graphic>
          </wp:inline>
        </w:drawing>
      </w:r>
    </w:p>
    <w:p w14:paraId="2B4B5A11" w14:textId="13138F64" w:rsidR="00B112B8" w:rsidRDefault="00B112B8" w:rsidP="00B65567">
      <w:pPr>
        <w:ind w:firstLine="708"/>
      </w:pPr>
      <w:r>
        <w:t xml:space="preserve">A simple vista parece claro que los dos primeros bombos, en general, justificaron su condición de favoritos y muestran que el Ranking FIFA </w:t>
      </w:r>
      <w:r w:rsidR="00C606A0">
        <w:t xml:space="preserve">quizá </w:t>
      </w:r>
      <w:r>
        <w:t>no anda tan errado. Llama la atención que, en cuanto a desempeño</w:t>
      </w:r>
      <w:r w:rsidR="00B65567">
        <w:t>,</w:t>
      </w:r>
      <w:r>
        <w:t xml:space="preserve"> el bombo 2 </w:t>
      </w:r>
      <w:r w:rsidR="00B65567">
        <w:t>muestra un mejor rendimiento</w:t>
      </w:r>
      <w:r>
        <w:t xml:space="preserve"> que el de los países cabezas de serie, pero hay que recordar que el local</w:t>
      </w:r>
      <w:r w:rsidR="00B65567">
        <w:t xml:space="preserve">, </w:t>
      </w:r>
      <w:r>
        <w:t>Rusia</w:t>
      </w:r>
      <w:r w:rsidR="00B65567">
        <w:t>,</w:t>
      </w:r>
      <w:r>
        <w:t xml:space="preserve"> desplaz</w:t>
      </w:r>
      <w:r w:rsidR="00B65567">
        <w:t>ó</w:t>
      </w:r>
      <w:r>
        <w:t xml:space="preserve"> </w:t>
      </w:r>
      <w:r w:rsidR="00B65567">
        <w:t xml:space="preserve">al segundo bombo a España, un equipo que terminó enfrentándose a Portugal en un grupo muy cerrado. Además, por </w:t>
      </w:r>
      <w:r w:rsidR="00B65567">
        <w:lastRenderedPageBreak/>
        <w:t>supuesto que las decepciones de Polonia y Alemania contribuyeron a que el bombo 1 quedase mal parado en cuanto a resultados.</w:t>
      </w:r>
      <w:r w:rsidR="009C5EB8">
        <w:t xml:space="preserve"> Pero ahora veamos las cosas desde otro ángulo, en la siguiente gráfica</w:t>
      </w:r>
      <w:r w:rsidR="00B65567">
        <w:t xml:space="preserve"> </w:t>
      </w:r>
      <w:r w:rsidR="009C5EB8">
        <w:t>se muestra el promedio de puntos por posición al final de la fase de grupos</w:t>
      </w:r>
      <w:r w:rsidR="00C53C94">
        <w:t>:</w:t>
      </w:r>
    </w:p>
    <w:p w14:paraId="0FFE20F0" w14:textId="75345BE7" w:rsidR="00B65567" w:rsidRDefault="00C53C94" w:rsidP="0029530A">
      <w:pPr>
        <w:jc w:val="center"/>
      </w:pPr>
      <w:r>
        <w:rPr>
          <w:noProof/>
        </w:rPr>
        <w:drawing>
          <wp:inline distT="0" distB="0" distL="0" distR="0" wp14:anchorId="62AFFFD6" wp14:editId="40250314">
            <wp:extent cx="5837555" cy="34455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7555" cy="3445510"/>
                    </a:xfrm>
                    <a:prstGeom prst="rect">
                      <a:avLst/>
                    </a:prstGeom>
                    <a:noFill/>
                    <a:ln>
                      <a:noFill/>
                    </a:ln>
                  </pic:spPr>
                </pic:pic>
              </a:graphicData>
            </a:graphic>
          </wp:inline>
        </w:drawing>
      </w:r>
    </w:p>
    <w:p w14:paraId="74B6AAF2" w14:textId="5999BD82" w:rsidR="00C53C94" w:rsidRDefault="00C53C94" w:rsidP="00A00A22">
      <w:r>
        <w:tab/>
        <w:t>Con los resultados anteriores en mente, observemos qué decían las casas de apuestas respecto a la Selección Mexicana en su grupo del mundial. A partir de las apuestas establecidas por Bet365 se calcularon las probabilidades de cada combinación de puntos en la fase de grupos, observemos el caso de México:</w:t>
      </w:r>
    </w:p>
    <w:p w14:paraId="7A081118" w14:textId="3D888696" w:rsidR="00C53C94" w:rsidRDefault="00C53C94" w:rsidP="0029530A">
      <w:pPr>
        <w:jc w:val="center"/>
      </w:pPr>
      <w:r>
        <w:rPr>
          <w:noProof/>
        </w:rPr>
        <w:drawing>
          <wp:inline distT="0" distB="0" distL="0" distR="0" wp14:anchorId="6E49414D" wp14:editId="615C8360">
            <wp:extent cx="4564380" cy="3101340"/>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4380" cy="3101340"/>
                    </a:xfrm>
                    <a:prstGeom prst="rect">
                      <a:avLst/>
                    </a:prstGeom>
                    <a:noFill/>
                    <a:ln>
                      <a:noFill/>
                    </a:ln>
                  </pic:spPr>
                </pic:pic>
              </a:graphicData>
            </a:graphic>
          </wp:inline>
        </w:drawing>
      </w:r>
    </w:p>
    <w:p w14:paraId="399FF8F7" w14:textId="7E43C187" w:rsidR="00C53C94" w:rsidRDefault="00C53C94" w:rsidP="00A00A22">
      <w:r>
        <w:tab/>
        <w:t>Si consideramos que todos los equipos que terminaron la fase de grupos en segundo lugar obtuvieron entre 4 y 6 puntos, como se muestra:</w:t>
      </w:r>
    </w:p>
    <w:tbl>
      <w:tblPr>
        <w:tblStyle w:val="TableGrid"/>
        <w:tblW w:w="0" w:type="auto"/>
        <w:jc w:val="center"/>
        <w:tblLook w:val="04A0" w:firstRow="1" w:lastRow="0" w:firstColumn="1" w:lastColumn="0" w:noHBand="0" w:noVBand="1"/>
      </w:tblPr>
      <w:tblGrid>
        <w:gridCol w:w="1367"/>
        <w:gridCol w:w="1367"/>
        <w:gridCol w:w="1367"/>
        <w:gridCol w:w="1367"/>
        <w:gridCol w:w="1368"/>
        <w:gridCol w:w="1368"/>
        <w:gridCol w:w="1368"/>
        <w:gridCol w:w="1368"/>
      </w:tblGrid>
      <w:tr w:rsidR="00C53C94" w14:paraId="5E79B3B4" w14:textId="77777777" w:rsidTr="00C53C94">
        <w:trPr>
          <w:jc w:val="center"/>
        </w:trPr>
        <w:tc>
          <w:tcPr>
            <w:tcW w:w="1367" w:type="dxa"/>
            <w:vAlign w:val="center"/>
          </w:tcPr>
          <w:p w14:paraId="0C98A3B5" w14:textId="13B8CC38" w:rsidR="00C53C94" w:rsidRDefault="00C53C94" w:rsidP="00C53C94">
            <w:pPr>
              <w:jc w:val="center"/>
            </w:pPr>
            <w:r>
              <w:t>Rusia</w:t>
            </w:r>
            <w:r>
              <w:br/>
              <w:t>6</w:t>
            </w:r>
          </w:p>
        </w:tc>
        <w:tc>
          <w:tcPr>
            <w:tcW w:w="1367" w:type="dxa"/>
            <w:vAlign w:val="center"/>
          </w:tcPr>
          <w:p w14:paraId="56CD02F6" w14:textId="2945D03E" w:rsidR="00C53C94" w:rsidRDefault="00C53C94" w:rsidP="00C53C94">
            <w:pPr>
              <w:jc w:val="center"/>
            </w:pPr>
            <w:r>
              <w:t>Portugal</w:t>
            </w:r>
            <w:r>
              <w:br/>
              <w:t>5</w:t>
            </w:r>
          </w:p>
        </w:tc>
        <w:tc>
          <w:tcPr>
            <w:tcW w:w="1367" w:type="dxa"/>
            <w:vAlign w:val="center"/>
          </w:tcPr>
          <w:p w14:paraId="11F777A7" w14:textId="5BE1050A" w:rsidR="00C53C94" w:rsidRDefault="00C53C94" w:rsidP="00C53C94">
            <w:pPr>
              <w:jc w:val="center"/>
            </w:pPr>
            <w:r>
              <w:t>Dinamarca</w:t>
            </w:r>
            <w:r>
              <w:br/>
              <w:t>5</w:t>
            </w:r>
          </w:p>
        </w:tc>
        <w:tc>
          <w:tcPr>
            <w:tcW w:w="1367" w:type="dxa"/>
            <w:vAlign w:val="center"/>
          </w:tcPr>
          <w:p w14:paraId="409EC07B" w14:textId="77777777" w:rsidR="00C53C94" w:rsidRDefault="00C53C94" w:rsidP="00C53C94">
            <w:pPr>
              <w:jc w:val="center"/>
            </w:pPr>
            <w:r>
              <w:t>Argentina</w:t>
            </w:r>
          </w:p>
          <w:p w14:paraId="5DB604CD" w14:textId="254AF9FD" w:rsidR="00C53C94" w:rsidRDefault="00C53C94" w:rsidP="00C53C94">
            <w:pPr>
              <w:jc w:val="center"/>
            </w:pPr>
            <w:r>
              <w:t>4</w:t>
            </w:r>
          </w:p>
        </w:tc>
        <w:tc>
          <w:tcPr>
            <w:tcW w:w="1368" w:type="dxa"/>
            <w:vAlign w:val="center"/>
          </w:tcPr>
          <w:p w14:paraId="2AE32316" w14:textId="7E2FE11F" w:rsidR="00C53C94" w:rsidRDefault="00C53C94" w:rsidP="00C53C94">
            <w:pPr>
              <w:jc w:val="center"/>
            </w:pPr>
            <w:r>
              <w:t>Suiza</w:t>
            </w:r>
            <w:r>
              <w:br/>
              <w:t>5</w:t>
            </w:r>
          </w:p>
        </w:tc>
        <w:tc>
          <w:tcPr>
            <w:tcW w:w="1368" w:type="dxa"/>
            <w:vAlign w:val="center"/>
          </w:tcPr>
          <w:p w14:paraId="66C5CB12" w14:textId="02B51F1E" w:rsidR="00C53C94" w:rsidRDefault="00C53C94" w:rsidP="00C53C94">
            <w:pPr>
              <w:jc w:val="center"/>
            </w:pPr>
            <w:r>
              <w:t>México</w:t>
            </w:r>
            <w:r>
              <w:br/>
              <w:t>6</w:t>
            </w:r>
          </w:p>
        </w:tc>
        <w:tc>
          <w:tcPr>
            <w:tcW w:w="1368" w:type="dxa"/>
            <w:vAlign w:val="center"/>
          </w:tcPr>
          <w:p w14:paraId="4D0C67B3" w14:textId="6C8ADEE7" w:rsidR="00C53C94" w:rsidRDefault="00C53C94" w:rsidP="00C53C94">
            <w:pPr>
              <w:jc w:val="center"/>
            </w:pPr>
            <w:r>
              <w:t>Inglaterra</w:t>
            </w:r>
            <w:r>
              <w:br/>
              <w:t>6</w:t>
            </w:r>
          </w:p>
        </w:tc>
        <w:tc>
          <w:tcPr>
            <w:tcW w:w="1368" w:type="dxa"/>
            <w:vAlign w:val="center"/>
          </w:tcPr>
          <w:p w14:paraId="6FF32906" w14:textId="4AD369AD" w:rsidR="00C53C94" w:rsidRDefault="00C53C94" w:rsidP="00C53C94">
            <w:pPr>
              <w:jc w:val="center"/>
            </w:pPr>
            <w:r>
              <w:t>Japón</w:t>
            </w:r>
            <w:r>
              <w:br/>
              <w:t>4</w:t>
            </w:r>
          </w:p>
        </w:tc>
      </w:tr>
    </w:tbl>
    <w:p w14:paraId="3C2632A0" w14:textId="77777777" w:rsidR="00C53C94" w:rsidRDefault="00C53C94" w:rsidP="00A00A22"/>
    <w:p w14:paraId="430B3642" w14:textId="6F5D983B" w:rsidR="00C53C94" w:rsidRDefault="00C53C94" w:rsidP="00A00A22">
      <w:r>
        <w:lastRenderedPageBreak/>
        <w:tab/>
        <w:t xml:space="preserve">En efecto lo ocurrido en el mundial parece tener sentido, pues en el caso de México, si sumamos las probabilidades de que obtuviera entre 4 y 6 puntos, resulta ser 45% (el resultado de sumar </w:t>
      </w:r>
      <w:r>
        <w:t>23%+7%+15%</w:t>
      </w:r>
      <w:r>
        <w:t xml:space="preserve">), es decir, </w:t>
      </w:r>
      <w:r w:rsidR="00C606A0">
        <w:t xml:space="preserve">yo diría que </w:t>
      </w:r>
      <w:r>
        <w:t xml:space="preserve">nada mal. Una forma de dimensionarlo sería pensarlo en términos de 100 torneos, si fuese posible repetir 100 veces este torneo, en 45 de esas ocasiones esperaríamos que la Selección Mexicana obtuviera entre 4 y 6 puntos. </w:t>
      </w:r>
    </w:p>
    <w:p w14:paraId="53E18826" w14:textId="43A6F9FD" w:rsidR="00C53C94" w:rsidRDefault="002E0F42" w:rsidP="00A00A22">
      <w:r>
        <w:tab/>
        <w:t xml:space="preserve">Para ponerlo en perspectiva, observemos la siguiente </w:t>
      </w:r>
      <w:r w:rsidR="00C606A0">
        <w:t>gráfica</w:t>
      </w:r>
      <w:r>
        <w:t xml:space="preserve"> que muestra las probabilidades de obtener 0 a 2, 3 a 6 y 7 a 9 puntos para las cuatro selecciones que compitieron en el Grupo F del Mundial Rusia 2018:</w:t>
      </w:r>
    </w:p>
    <w:p w14:paraId="0CAF99D8" w14:textId="007900FD" w:rsidR="002E0F42" w:rsidRDefault="002E0F42" w:rsidP="0029530A">
      <w:pPr>
        <w:jc w:val="center"/>
      </w:pPr>
      <w:r>
        <w:rPr>
          <w:noProof/>
        </w:rPr>
        <w:drawing>
          <wp:inline distT="0" distB="0" distL="0" distR="0" wp14:anchorId="14278196" wp14:editId="7E56102B">
            <wp:extent cx="5833745" cy="362839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3745" cy="3628390"/>
                    </a:xfrm>
                    <a:prstGeom prst="rect">
                      <a:avLst/>
                    </a:prstGeom>
                    <a:noFill/>
                    <a:ln>
                      <a:noFill/>
                    </a:ln>
                  </pic:spPr>
                </pic:pic>
              </a:graphicData>
            </a:graphic>
          </wp:inline>
        </w:drawing>
      </w:r>
    </w:p>
    <w:p w14:paraId="3D2797EB" w14:textId="5760E34A" w:rsidR="002E0F42" w:rsidRDefault="002E0F42" w:rsidP="00A00A22">
      <w:r>
        <w:tab/>
        <w:t xml:space="preserve">Desde la perspectiva de las casas de apuestas (los pagos no </w:t>
      </w:r>
      <w:r w:rsidR="00C606A0">
        <w:t>suelen variar</w:t>
      </w:r>
      <w:r>
        <w:t xml:space="preserve"> significativamente de una casa a otra), parece claro que</w:t>
      </w:r>
      <w:r w:rsidR="00C606A0">
        <w:t>,</w:t>
      </w:r>
      <w:r>
        <w:t xml:space="preserve"> </w:t>
      </w:r>
      <w:r w:rsidR="00C606A0">
        <w:t xml:space="preserve">en 2018, en el Grupo F </w:t>
      </w:r>
      <w:r>
        <w:t>los equipos del bombo 2</w:t>
      </w:r>
      <w:r w:rsidR="00C606A0">
        <w:t xml:space="preserve"> (México)</w:t>
      </w:r>
      <w:r>
        <w:t xml:space="preserve"> y </w:t>
      </w:r>
      <w:r w:rsidR="00C606A0">
        <w:t xml:space="preserve">bombo </w:t>
      </w:r>
      <w:r>
        <w:t>3</w:t>
      </w:r>
      <w:r w:rsidR="00C606A0">
        <w:t xml:space="preserve"> (Suecia)</w:t>
      </w:r>
      <w:r>
        <w:t xml:space="preserve"> estaban en una situación bastante pareja, aunque con una ligera ventaja para </w:t>
      </w:r>
      <w:r w:rsidR="00C606A0">
        <w:t>el seleccionado mexicano</w:t>
      </w:r>
      <w:r>
        <w:t xml:space="preserve">. </w:t>
      </w:r>
      <w:r w:rsidR="00C606A0">
        <w:t>Gracias a Tláloc</w:t>
      </w:r>
      <w:r>
        <w:t xml:space="preserve">, la suerte estuvo de nuestro lado, pero, tal parece que nuevamente México se encuentra en una situación similar de cara al Mundial de Catar 2022. </w:t>
      </w:r>
      <w:r w:rsidR="00C606A0">
        <w:t>De nuevo</w:t>
      </w:r>
      <w:r>
        <w:t xml:space="preserve"> el Tri comparte grupo con un claro favorito, Argentina, un claro no-favorito, Arabia Saudita, y un rival parejo</w:t>
      </w:r>
      <w:r w:rsidR="00C606A0">
        <w:t>, Polonia,</w:t>
      </w:r>
      <w:r>
        <w:t xml:space="preserve"> </w:t>
      </w:r>
      <w:r w:rsidR="00C606A0">
        <w:t xml:space="preserve">con </w:t>
      </w:r>
      <w:proofErr w:type="spellStart"/>
      <w:r w:rsidR="00C606A0">
        <w:t>el</w:t>
      </w:r>
      <w:proofErr w:type="spellEnd"/>
      <w:r w:rsidR="00C606A0">
        <w:t xml:space="preserve"> que</w:t>
      </w:r>
      <w:r>
        <w:t xml:space="preserve">, a priori, parece haber una ligera ventaja para México. </w:t>
      </w:r>
    </w:p>
    <w:p w14:paraId="07BF0993" w14:textId="3C60FBD8" w:rsidR="002E0F42" w:rsidRDefault="002E0F42" w:rsidP="00A00A22">
      <w:r>
        <w:tab/>
        <w:t>Mi observación respecto al partido entre Polonia y México</w:t>
      </w:r>
      <w:r w:rsidR="00C606A0">
        <w:t>, por la que creo que la Selección Mexicana tiene una ventaja,</w:t>
      </w:r>
      <w:r>
        <w:t xml:space="preserve"> es que los mejores jugadores de Polonia son mejores que los mejores jugadores de México, pero el promedio del jugador mexicano es mejor que el promedio de los polacos. Por ese lado, en mi opinión </w:t>
      </w:r>
      <w:r w:rsidR="00C606A0">
        <w:t>el promedio representa una ventaja que se vuelve más clara entre más partidos se jueguen</w:t>
      </w:r>
      <w:r>
        <w:t>. Retomaré este punto en un texto posterior, pero por ahora, me despido</w:t>
      </w:r>
      <w:r w:rsidR="00C606A0">
        <w:t xml:space="preserve"> y espero les haya parecido interesante este breve texto.</w:t>
      </w:r>
    </w:p>
    <w:p w14:paraId="471F5715" w14:textId="77777777" w:rsidR="002E0F42" w:rsidRDefault="002E0F42" w:rsidP="00A00A22"/>
    <w:p w14:paraId="2BAD9AB4" w14:textId="77777777" w:rsidR="002E0F42" w:rsidRPr="00CA081D" w:rsidRDefault="002E0F42" w:rsidP="002E0F42">
      <w:pPr>
        <w:rPr>
          <w:lang w:val="en-US"/>
        </w:rPr>
      </w:pPr>
      <w:r w:rsidRPr="00CA081D">
        <w:rPr>
          <w:lang w:val="en-US"/>
        </w:rPr>
        <w:t>Ing. Jaime G. Meléndez</w:t>
      </w:r>
    </w:p>
    <w:p w14:paraId="3E14B4E5" w14:textId="77777777" w:rsidR="002E0F42" w:rsidRDefault="002E0F42" w:rsidP="002E0F42">
      <w:pPr>
        <w:rPr>
          <w:lang w:val="en-US"/>
        </w:rPr>
      </w:pPr>
      <w:r w:rsidRPr="00FF2924">
        <w:rPr>
          <w:lang w:val="en-US"/>
        </w:rPr>
        <w:t xml:space="preserve">Twitter: </w:t>
      </w:r>
      <w:hyperlink r:id="rId10" w:history="1">
        <w:r w:rsidRPr="00FF2924">
          <w:rPr>
            <w:rStyle w:val="Hyperlink"/>
            <w:lang w:val="en-US"/>
          </w:rPr>
          <w:t>@JamesGMelendez</w:t>
        </w:r>
      </w:hyperlink>
      <w:r w:rsidRPr="00FF2924">
        <w:rPr>
          <w:lang w:val="en-US"/>
        </w:rPr>
        <w:br/>
        <w:t xml:space="preserve">Web: </w:t>
      </w:r>
      <w:hyperlink r:id="rId11" w:history="1">
        <w:r w:rsidRPr="00FF2924">
          <w:rPr>
            <w:rStyle w:val="Hyperlink"/>
            <w:lang w:val="en-US"/>
          </w:rPr>
          <w:t>https://academiathi.com/</w:t>
        </w:r>
      </w:hyperlink>
      <w:r w:rsidRPr="00FF2924">
        <w:rPr>
          <w:lang w:val="en-US"/>
        </w:rPr>
        <w:t xml:space="preserve"> </w:t>
      </w:r>
      <w:r w:rsidRPr="00FF2924">
        <w:rPr>
          <w:lang w:val="en-US"/>
        </w:rPr>
        <w:br/>
      </w:r>
      <w:r>
        <w:rPr>
          <w:lang w:val="en-US"/>
        </w:rPr>
        <w:t xml:space="preserve">LinkedIn: </w:t>
      </w:r>
      <w:hyperlink r:id="rId12" w:history="1">
        <w:r w:rsidRPr="00154EB8">
          <w:rPr>
            <w:rStyle w:val="Hyperlink"/>
            <w:lang w:val="en-US"/>
          </w:rPr>
          <w:t>jaimemelendezthi</w:t>
        </w:r>
      </w:hyperlink>
      <w:r>
        <w:rPr>
          <w:lang w:val="en-US"/>
        </w:rPr>
        <w:t xml:space="preserve"> </w:t>
      </w:r>
      <w:r>
        <w:rPr>
          <w:lang w:val="en-US"/>
        </w:rPr>
        <w:br/>
      </w:r>
    </w:p>
    <w:p w14:paraId="60B8C6C0" w14:textId="185C8A70" w:rsidR="002E0F42" w:rsidRPr="002E0F42" w:rsidRDefault="002E0F42" w:rsidP="00A00A22">
      <w:pPr>
        <w:rPr>
          <w:color w:val="0563C1" w:themeColor="hyperlink"/>
          <w:u w:val="single"/>
        </w:rPr>
      </w:pPr>
      <w:r>
        <w:lastRenderedPageBreak/>
        <w:t>Síguenos en Enrachados Deportes</w:t>
      </w:r>
      <w:r>
        <w:br/>
        <w:t xml:space="preserve">Podcast: </w:t>
      </w:r>
      <w:hyperlink r:id="rId13" w:history="1">
        <w:r w:rsidRPr="00B02EFF">
          <w:rPr>
            <w:rStyle w:val="Hyperlink"/>
          </w:rPr>
          <w:t>Enrachados jueves 21:00 horas</w:t>
        </w:r>
      </w:hyperlink>
      <w:r>
        <w:br/>
        <w:t xml:space="preserve">Twitter e Instagram: </w:t>
      </w:r>
      <w:hyperlink r:id="rId14" w:history="1">
        <w:r w:rsidRPr="00B02EFF">
          <w:rPr>
            <w:rStyle w:val="Hyperlink"/>
          </w:rPr>
          <w:t>@Enrachados_deportes</w:t>
        </w:r>
      </w:hyperlink>
    </w:p>
    <w:sectPr w:rsidR="002E0F42" w:rsidRPr="002E0F42" w:rsidSect="00A00A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0A22"/>
    <w:rsid w:val="0029530A"/>
    <w:rsid w:val="002E0F42"/>
    <w:rsid w:val="005E2700"/>
    <w:rsid w:val="006A015C"/>
    <w:rsid w:val="009C5EB8"/>
    <w:rsid w:val="00A00A22"/>
    <w:rsid w:val="00A37302"/>
    <w:rsid w:val="00B112B8"/>
    <w:rsid w:val="00B65567"/>
    <w:rsid w:val="00C53C94"/>
    <w:rsid w:val="00C60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9B65"/>
  <w15:chartTrackingRefBased/>
  <w15:docId w15:val="{0FE49DDF-9DB1-402F-A235-79590F83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facebook.com/EnrachadosDeporte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linkedin.com/in/jaimemelendezth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academiathi.com/"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twitter.com/JamesGMelendez"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instagram.com/enrachados_deportes/?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722</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4</cp:revision>
  <dcterms:created xsi:type="dcterms:W3CDTF">2022-04-02T02:47:00Z</dcterms:created>
  <dcterms:modified xsi:type="dcterms:W3CDTF">2022-04-02T04:04:00Z</dcterms:modified>
</cp:coreProperties>
</file>