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A7D91" w14:textId="16C661F8" w:rsidR="006F5F94" w:rsidRDefault="00864E54">
      <w:pPr>
        <w:rPr>
          <w:rFonts w:ascii="Segoe UI" w:hAnsi="Segoe UI" w:cs="Segoe UI"/>
          <w:color w:val="0F1419"/>
          <w:sz w:val="30"/>
          <w:szCs w:val="30"/>
          <w:shd w:val="clear" w:color="auto" w:fill="FFFFFF"/>
        </w:rPr>
      </w:pPr>
      <w:r>
        <w:rPr>
          <w:rFonts w:ascii="Segoe UI" w:hAnsi="Segoe UI" w:cs="Segoe UI"/>
          <w:color w:val="0F1419"/>
          <w:sz w:val="30"/>
          <w:szCs w:val="30"/>
          <w:shd w:val="clear" w:color="auto" w:fill="FFFFFF"/>
        </w:rPr>
        <w:t xml:space="preserve">Vamos a mostrar algunas mediciones de performance en las eliminatorias de </w:t>
      </w:r>
      <w:r>
        <w:rPr>
          <w:rFonts w:ascii="Segoe UI" w:hAnsi="Segoe UI" w:cs="Segoe UI"/>
          <w:color w:val="1D9BF0"/>
          <w:sz w:val="30"/>
          <w:szCs w:val="30"/>
          <w:shd w:val="clear" w:color="auto" w:fill="FFFFFF"/>
        </w:rPr>
        <w:t>#CONCACAF</w:t>
      </w:r>
      <w:r>
        <w:rPr>
          <w:rFonts w:ascii="Segoe UI" w:hAnsi="Segoe UI" w:cs="Segoe UI"/>
          <w:color w:val="0F1419"/>
          <w:sz w:val="30"/>
          <w:szCs w:val="30"/>
          <w:shd w:val="clear" w:color="auto" w:fill="FFFFFF"/>
        </w:rPr>
        <w:t xml:space="preserve"> y </w:t>
      </w:r>
      <w:r>
        <w:rPr>
          <w:rFonts w:ascii="Segoe UI" w:hAnsi="Segoe UI" w:cs="Segoe UI"/>
          <w:color w:val="1D9BF0"/>
          <w:sz w:val="30"/>
          <w:szCs w:val="30"/>
          <w:shd w:val="clear" w:color="auto" w:fill="FFFFFF"/>
        </w:rPr>
        <w:t>#CONMEBOL</w:t>
      </w:r>
      <w:r>
        <w:rPr>
          <w:rFonts w:ascii="Segoe UI" w:hAnsi="Segoe UI" w:cs="Segoe UI"/>
          <w:color w:val="0F1419"/>
          <w:sz w:val="30"/>
          <w:szCs w:val="30"/>
          <w:shd w:val="clear" w:color="auto" w:fill="FFFFFF"/>
        </w:rPr>
        <w:t xml:space="preserve"> para Catar 2022. Las mediciones se hicieron comparando los datos de los partidos con los valores esperados por las Casas de Apuestas, hasta la fecha </w:t>
      </w:r>
      <w:r>
        <w:rPr>
          <w:rFonts w:ascii="Segoe UI" w:hAnsi="Segoe UI" w:cs="Segoe UI"/>
          <w:color w:val="1D9BF0"/>
          <w:sz w:val="30"/>
          <w:szCs w:val="30"/>
          <w:shd w:val="clear" w:color="auto" w:fill="FFFFFF"/>
        </w:rPr>
        <w:t>#FIFA</w:t>
      </w:r>
      <w:r>
        <w:rPr>
          <w:rFonts w:ascii="Segoe UI" w:hAnsi="Segoe UI" w:cs="Segoe UI"/>
          <w:color w:val="0F1419"/>
          <w:sz w:val="30"/>
          <w:szCs w:val="30"/>
          <w:shd w:val="clear" w:color="auto" w:fill="FFFFFF"/>
        </w:rPr>
        <w:t xml:space="preserve"> antes de 13/11/2021...</w:t>
      </w:r>
    </w:p>
    <w:p w14:paraId="53A9358C" w14:textId="1D780D29" w:rsidR="00864E54" w:rsidRDefault="00864E54">
      <w:pPr>
        <w:rPr>
          <w:rFonts w:ascii="Segoe UI" w:hAnsi="Segoe UI" w:cs="Segoe UI"/>
          <w:color w:val="0F1419"/>
          <w:sz w:val="30"/>
          <w:szCs w:val="30"/>
          <w:shd w:val="clear" w:color="auto" w:fill="FFFFFF"/>
        </w:rPr>
      </w:pPr>
    </w:p>
    <w:p w14:paraId="51EA576D" w14:textId="1FDE125B" w:rsidR="00864E54" w:rsidRDefault="00864E54">
      <w:pPr>
        <w:rPr>
          <w:rFonts w:ascii="Segoe UI" w:hAnsi="Segoe UI" w:cs="Segoe UI"/>
          <w:color w:val="0F1419"/>
          <w:sz w:val="30"/>
          <w:szCs w:val="30"/>
          <w:shd w:val="clear" w:color="auto" w:fill="FFFFFF"/>
        </w:rPr>
      </w:pPr>
      <w:r>
        <w:rPr>
          <w:rFonts w:ascii="Segoe UI" w:hAnsi="Segoe UI" w:cs="Segoe UI"/>
          <w:color w:val="0F1419"/>
          <w:sz w:val="30"/>
          <w:szCs w:val="30"/>
          <w:shd w:val="clear" w:color="auto" w:fill="FFFFFF"/>
        </w:rPr>
        <w:t>¿Por qué las Casas de Apuestas? Un negocio de escala mundial que, para dar una idea de su volumen, se trata de un ramo que, en cuanto a ganancias, equipara al negocio de los videojuegos. Aquí dos gráficos de Statista para ilustrar:</w:t>
      </w:r>
    </w:p>
    <w:p w14:paraId="04CB894C" w14:textId="2572E0C3" w:rsidR="00864E54" w:rsidRDefault="00864E54">
      <w:pPr>
        <w:rPr>
          <w:rFonts w:ascii="Segoe UI" w:hAnsi="Segoe UI" w:cs="Segoe UI"/>
          <w:color w:val="0F1419"/>
          <w:sz w:val="30"/>
          <w:szCs w:val="30"/>
          <w:shd w:val="clear" w:color="auto" w:fill="FFFFFF"/>
        </w:rPr>
      </w:pPr>
      <w:r>
        <w:rPr>
          <w:rFonts w:ascii="Segoe UI" w:hAnsi="Segoe UI" w:cs="Segoe UI"/>
          <w:color w:val="0F1419"/>
          <w:sz w:val="30"/>
          <w:szCs w:val="30"/>
          <w:shd w:val="clear" w:color="auto" w:fill="FFFFFF"/>
        </w:rPr>
        <w:t>[STATISTA 1] [STATISTA 2]</w:t>
      </w:r>
    </w:p>
    <w:p w14:paraId="4325590E" w14:textId="0AD63B1E" w:rsidR="00864E54" w:rsidRDefault="00864E54">
      <w:pPr>
        <w:rPr>
          <w:rFonts w:ascii="Segoe UI" w:hAnsi="Segoe UI" w:cs="Segoe UI"/>
          <w:color w:val="0F1419"/>
          <w:sz w:val="30"/>
          <w:szCs w:val="30"/>
          <w:shd w:val="clear" w:color="auto" w:fill="FFFFFF"/>
        </w:rPr>
      </w:pPr>
    </w:p>
    <w:p w14:paraId="57A696E2" w14:textId="7F245031" w:rsidR="00864E54" w:rsidRDefault="00864E54">
      <w:pPr>
        <w:rPr>
          <w:rFonts w:ascii="Segoe UI" w:hAnsi="Segoe UI" w:cs="Segoe UI"/>
          <w:color w:val="0F1419"/>
          <w:sz w:val="30"/>
          <w:szCs w:val="30"/>
          <w:shd w:val="clear" w:color="auto" w:fill="FFFFFF"/>
        </w:rPr>
      </w:pPr>
      <w:r>
        <w:rPr>
          <w:rFonts w:ascii="Segoe UI" w:hAnsi="Segoe UI" w:cs="Segoe UI"/>
          <w:color w:val="0F1419"/>
          <w:sz w:val="30"/>
          <w:szCs w:val="30"/>
          <w:shd w:val="clear" w:color="auto" w:fill="FFFFFF"/>
        </w:rPr>
        <w:t>Empecemos por ubicar los grupos de CONCACAF y CONMEBOL en el contexto global. Las siguientes gráficas utilizan el puntaje del Ranking de FIFA para medir el promedio y desviación estándar de los puntos de cada grupo:</w:t>
      </w:r>
    </w:p>
    <w:p w14:paraId="2F257591" w14:textId="661D017C" w:rsidR="00864E54" w:rsidRPr="00864E54" w:rsidRDefault="00864E54">
      <w:pPr>
        <w:rPr>
          <w:rFonts w:ascii="Segoe UI" w:hAnsi="Segoe UI" w:cs="Segoe UI"/>
          <w:color w:val="0F1419"/>
          <w:sz w:val="30"/>
          <w:szCs w:val="30"/>
          <w:shd w:val="clear" w:color="auto" w:fill="FFFFFF"/>
          <w:lang w:val="en-US"/>
        </w:rPr>
      </w:pPr>
      <w:r w:rsidRPr="00864E54">
        <w:rPr>
          <w:rFonts w:ascii="Segoe UI" w:hAnsi="Segoe UI" w:cs="Segoe UI"/>
          <w:color w:val="0F1419"/>
          <w:sz w:val="30"/>
          <w:szCs w:val="30"/>
          <w:shd w:val="clear" w:color="auto" w:fill="FFFFFF"/>
          <w:lang w:val="en-US"/>
        </w:rPr>
        <w:t xml:space="preserve">[FIFA RANKING PTS </w:t>
      </w:r>
      <w:proofErr w:type="gramStart"/>
      <w:r w:rsidRPr="00864E54">
        <w:rPr>
          <w:rFonts w:ascii="Segoe UI" w:hAnsi="Segoe UI" w:cs="Segoe UI"/>
          <w:color w:val="0F1419"/>
          <w:sz w:val="30"/>
          <w:szCs w:val="30"/>
          <w:shd w:val="clear" w:color="auto" w:fill="FFFFFF"/>
          <w:lang w:val="en-US"/>
        </w:rPr>
        <w:t>AVG][</w:t>
      </w:r>
      <w:proofErr w:type="gramEnd"/>
      <w:r w:rsidRPr="00864E54">
        <w:rPr>
          <w:rFonts w:ascii="Segoe UI" w:hAnsi="Segoe UI" w:cs="Segoe UI"/>
          <w:color w:val="0F1419"/>
          <w:sz w:val="30"/>
          <w:szCs w:val="30"/>
          <w:shd w:val="clear" w:color="auto" w:fill="FFFFFF"/>
          <w:lang w:val="en-US"/>
        </w:rPr>
        <w:t>FIFA RANKING PTS STD]</w:t>
      </w:r>
    </w:p>
    <w:p w14:paraId="01CEE4C4" w14:textId="792AEA33" w:rsidR="00864E54" w:rsidRDefault="00864E54">
      <w:pPr>
        <w:rPr>
          <w:rFonts w:ascii="Segoe UI" w:hAnsi="Segoe UI" w:cs="Segoe UI"/>
          <w:color w:val="0F1419"/>
          <w:sz w:val="30"/>
          <w:szCs w:val="30"/>
          <w:shd w:val="clear" w:color="auto" w:fill="FFFFFF"/>
          <w:lang w:val="en-US"/>
        </w:rPr>
      </w:pPr>
    </w:p>
    <w:p w14:paraId="7E678CCE" w14:textId="65510E1A" w:rsidR="00864E54" w:rsidRDefault="00864E54">
      <w:pPr>
        <w:rPr>
          <w:rFonts w:ascii="Segoe UI" w:hAnsi="Segoe UI" w:cs="Segoe UI"/>
          <w:color w:val="0F1419"/>
          <w:sz w:val="30"/>
          <w:szCs w:val="30"/>
          <w:shd w:val="clear" w:color="auto" w:fill="FFFFFF"/>
        </w:rPr>
      </w:pPr>
      <w:r>
        <w:rPr>
          <w:rFonts w:ascii="Segoe UI" w:hAnsi="Segoe UI" w:cs="Segoe UI"/>
          <w:color w:val="0F1419"/>
          <w:sz w:val="30"/>
          <w:szCs w:val="30"/>
          <w:shd w:val="clear" w:color="auto" w:fill="FFFFFF"/>
        </w:rPr>
        <w:t>A partir del Ranking FIFA, en cuanto a promedio de puntos ni CONMEBOL ni CONCACAF quedan mal parados en su eliminatoria final. Además, su desviación estándar nos habla de que los grupos son, en realidad, bastante parejos. Al menos, bastante más que sus equivalentes europeos.</w:t>
      </w:r>
    </w:p>
    <w:p w14:paraId="7196EA1D" w14:textId="45A03F3D" w:rsidR="00864E54" w:rsidRDefault="00864E54">
      <w:pPr>
        <w:rPr>
          <w:rFonts w:ascii="Segoe UI" w:hAnsi="Segoe UI" w:cs="Segoe UI"/>
          <w:color w:val="0F1419"/>
          <w:sz w:val="30"/>
          <w:szCs w:val="30"/>
          <w:shd w:val="clear" w:color="auto" w:fill="FFFFFF"/>
        </w:rPr>
      </w:pPr>
    </w:p>
    <w:p w14:paraId="2FA6E5CC" w14:textId="609C8C44" w:rsidR="00864E54" w:rsidRDefault="00864E54">
      <w:pPr>
        <w:rPr>
          <w:rFonts w:ascii="Segoe UI" w:hAnsi="Segoe UI" w:cs="Segoe UI"/>
          <w:color w:val="0F1419"/>
          <w:sz w:val="30"/>
          <w:szCs w:val="30"/>
          <w:shd w:val="clear" w:color="auto" w:fill="FFFFFF"/>
        </w:rPr>
      </w:pPr>
      <w:r>
        <w:rPr>
          <w:rFonts w:ascii="Segoe UI" w:hAnsi="Segoe UI" w:cs="Segoe UI"/>
          <w:color w:val="0F1419"/>
          <w:sz w:val="30"/>
          <w:szCs w:val="30"/>
          <w:shd w:val="clear" w:color="auto" w:fill="FFFFFF"/>
        </w:rPr>
        <w:t>Por otro lado, por supuesto que el Ranking FIFA no está ausente de debate en cuanto a posiciones específicas, pero su objetivo no es acabar con ese debate sino aproximar los niveles de los equipos para tener un marco de referencia.</w:t>
      </w:r>
    </w:p>
    <w:p w14:paraId="70BDF081" w14:textId="41C082F8" w:rsidR="00864E54" w:rsidRDefault="00864E54">
      <w:pPr>
        <w:rPr>
          <w:rFonts w:ascii="Segoe UI" w:hAnsi="Segoe UI" w:cs="Segoe UI"/>
          <w:color w:val="0F1419"/>
          <w:sz w:val="30"/>
          <w:szCs w:val="30"/>
          <w:shd w:val="clear" w:color="auto" w:fill="FFFFFF"/>
        </w:rPr>
      </w:pPr>
    </w:p>
    <w:p w14:paraId="6A364C87" w14:textId="77777777" w:rsidR="00864E54" w:rsidRPr="00864E54" w:rsidRDefault="00864E54" w:rsidP="00864E54">
      <w:pPr>
        <w:shd w:val="clear" w:color="auto" w:fill="FFFFFF"/>
        <w:spacing w:after="0" w:line="240" w:lineRule="auto"/>
        <w:rPr>
          <w:rFonts w:ascii="Segoe UI" w:eastAsia="Times New Roman" w:hAnsi="Segoe UI" w:cs="Segoe UI"/>
          <w:color w:val="0F1419"/>
          <w:sz w:val="30"/>
          <w:szCs w:val="30"/>
          <w:lang w:eastAsia="es-MX"/>
        </w:rPr>
      </w:pPr>
      <w:r w:rsidRPr="00864E54">
        <w:rPr>
          <w:rFonts w:ascii="Segoe UI" w:eastAsia="Times New Roman" w:hAnsi="Segoe UI" w:cs="Segoe UI"/>
          <w:color w:val="0F1419"/>
          <w:sz w:val="30"/>
          <w:szCs w:val="30"/>
          <w:lang w:eastAsia="es-MX"/>
        </w:rPr>
        <w:t xml:space="preserve">Por ejemplo, entre las copas mundiales de 1994 hasta 2018 (7 competiciones), México ha terminado entre los puestos 10 y 15 y suele estar en ese rango de posiciones en el Ranking FIFA. </w:t>
      </w:r>
    </w:p>
    <w:p w14:paraId="0F920CA3" w14:textId="77777777" w:rsidR="00864E54" w:rsidRPr="00864E54" w:rsidRDefault="00864E54" w:rsidP="00864E54">
      <w:pPr>
        <w:shd w:val="clear" w:color="auto" w:fill="FFFFFF"/>
        <w:spacing w:after="0" w:line="240" w:lineRule="auto"/>
        <w:rPr>
          <w:rFonts w:ascii="Segoe UI" w:eastAsia="Times New Roman" w:hAnsi="Segoe UI" w:cs="Segoe UI"/>
          <w:color w:val="0F1419"/>
          <w:sz w:val="30"/>
          <w:szCs w:val="30"/>
          <w:lang w:eastAsia="es-MX"/>
        </w:rPr>
      </w:pPr>
      <w:r w:rsidRPr="00864E54">
        <w:rPr>
          <w:rFonts w:ascii="Segoe UI" w:eastAsia="Times New Roman" w:hAnsi="Segoe UI" w:cs="Segoe UI"/>
          <w:color w:val="0F1419"/>
          <w:sz w:val="30"/>
          <w:szCs w:val="30"/>
          <w:lang w:eastAsia="es-MX"/>
        </w:rPr>
        <w:t>Pero volvamos a las eliminatorias para Catar 2022.</w:t>
      </w:r>
    </w:p>
    <w:p w14:paraId="11D5C126" w14:textId="70FB8022" w:rsidR="00864E54" w:rsidRDefault="00864E54"/>
    <w:p w14:paraId="7B6F9E05" w14:textId="040E27D2" w:rsidR="00864E54" w:rsidRDefault="00864E54"/>
    <w:p w14:paraId="7BCA7256" w14:textId="2AA6B018" w:rsidR="00864E54" w:rsidRPr="00864E54" w:rsidRDefault="00864E54" w:rsidP="00864E54">
      <w:pPr>
        <w:shd w:val="clear" w:color="auto" w:fill="FFFFFF"/>
        <w:spacing w:after="0" w:line="240" w:lineRule="auto"/>
        <w:rPr>
          <w:rFonts w:ascii="Segoe UI" w:eastAsia="Times New Roman" w:hAnsi="Segoe UI" w:cs="Segoe UI"/>
          <w:color w:val="0F1419"/>
          <w:sz w:val="30"/>
          <w:szCs w:val="30"/>
          <w:lang w:eastAsia="es-MX"/>
        </w:rPr>
      </w:pPr>
      <w:r w:rsidRPr="00864E54">
        <w:rPr>
          <w:rFonts w:ascii="Segoe UI" w:eastAsia="Times New Roman" w:hAnsi="Segoe UI" w:cs="Segoe UI"/>
          <w:color w:val="0F1419"/>
          <w:sz w:val="30"/>
          <w:szCs w:val="30"/>
          <w:lang w:eastAsia="es-MX"/>
        </w:rPr>
        <w:t xml:space="preserve">Gráficas de Puntos vs Puntos Esperados. </w:t>
      </w:r>
    </w:p>
    <w:p w14:paraId="2E1A5C76" w14:textId="254D9CED" w:rsidR="00864E54" w:rsidRDefault="00864E54" w:rsidP="00864E54">
      <w:pPr>
        <w:shd w:val="clear" w:color="auto" w:fill="FFFFFF"/>
        <w:spacing w:after="0" w:line="240" w:lineRule="auto"/>
        <w:rPr>
          <w:rFonts w:ascii="Segoe UI" w:eastAsia="Times New Roman" w:hAnsi="Segoe UI" w:cs="Segoe UI"/>
          <w:color w:val="0F1419"/>
          <w:sz w:val="30"/>
          <w:szCs w:val="30"/>
          <w:lang w:eastAsia="es-MX"/>
        </w:rPr>
      </w:pPr>
      <w:r w:rsidRPr="00864E54">
        <w:rPr>
          <w:rFonts w:ascii="Segoe UI" w:eastAsia="Times New Roman" w:hAnsi="Segoe UI" w:cs="Segoe UI"/>
          <w:color w:val="0F1419"/>
          <w:sz w:val="30"/>
          <w:szCs w:val="30"/>
          <w:lang w:eastAsia="es-MX"/>
        </w:rPr>
        <w:t>Quizá pueda pensarse que los valores esperados no son tan precisos si observamos las diferencias entre las barras oscuras y claras, pero, recordemos que entre más jornadas transcurran más los equipos tenderán a esos desempeños.</w:t>
      </w:r>
    </w:p>
    <w:p w14:paraId="2D8A0418" w14:textId="72BBAAE9" w:rsidR="00864E54" w:rsidRDefault="00864E54" w:rsidP="00864E54">
      <w:pPr>
        <w:shd w:val="clear" w:color="auto" w:fill="FFFFFF"/>
        <w:spacing w:after="0" w:line="240" w:lineRule="auto"/>
        <w:rPr>
          <w:rFonts w:ascii="Segoe UI" w:eastAsia="Times New Roman" w:hAnsi="Segoe UI" w:cs="Segoe UI"/>
          <w:color w:val="0F1419"/>
          <w:sz w:val="30"/>
          <w:szCs w:val="30"/>
          <w:lang w:eastAsia="es-MX"/>
        </w:rPr>
      </w:pPr>
      <w:r>
        <w:rPr>
          <w:rFonts w:ascii="Segoe UI" w:eastAsia="Times New Roman" w:hAnsi="Segoe UI" w:cs="Segoe UI"/>
          <w:color w:val="0F1419"/>
          <w:sz w:val="30"/>
          <w:szCs w:val="30"/>
          <w:lang w:eastAsia="es-MX"/>
        </w:rPr>
        <w:t>[PTSVSXPTS CONMEBOL Y CONCACAG]</w:t>
      </w:r>
    </w:p>
    <w:p w14:paraId="2498A19C" w14:textId="0E7CA5FB" w:rsidR="00864E54" w:rsidRDefault="00864E54" w:rsidP="00864E54">
      <w:pPr>
        <w:shd w:val="clear" w:color="auto" w:fill="FFFFFF"/>
        <w:spacing w:after="0" w:line="240" w:lineRule="auto"/>
        <w:rPr>
          <w:rFonts w:ascii="Segoe UI" w:eastAsia="Times New Roman" w:hAnsi="Segoe UI" w:cs="Segoe UI"/>
          <w:color w:val="0F1419"/>
          <w:sz w:val="30"/>
          <w:szCs w:val="30"/>
          <w:lang w:eastAsia="es-MX"/>
        </w:rPr>
      </w:pPr>
    </w:p>
    <w:p w14:paraId="5EF84C86" w14:textId="769C8F50" w:rsidR="00864E54" w:rsidRDefault="00864E54" w:rsidP="00864E54">
      <w:pPr>
        <w:shd w:val="clear" w:color="auto" w:fill="FFFFFF"/>
        <w:spacing w:after="0" w:line="240" w:lineRule="auto"/>
        <w:rPr>
          <w:rFonts w:ascii="Segoe UI" w:eastAsia="Times New Roman" w:hAnsi="Segoe UI" w:cs="Segoe UI"/>
          <w:color w:val="0F1419"/>
          <w:sz w:val="30"/>
          <w:szCs w:val="30"/>
          <w:lang w:eastAsia="es-MX"/>
        </w:rPr>
      </w:pPr>
    </w:p>
    <w:p w14:paraId="17A9F215" w14:textId="44772A83" w:rsidR="00864E54" w:rsidRPr="00864E54" w:rsidRDefault="00864E54" w:rsidP="00864E54">
      <w:pPr>
        <w:shd w:val="clear" w:color="auto" w:fill="FFFFFF"/>
        <w:spacing w:after="0" w:line="240" w:lineRule="auto"/>
        <w:rPr>
          <w:rFonts w:ascii="Segoe UI" w:eastAsia="Times New Roman" w:hAnsi="Segoe UI" w:cs="Segoe UI"/>
          <w:color w:val="0F1419"/>
          <w:sz w:val="30"/>
          <w:szCs w:val="30"/>
          <w:lang w:eastAsia="es-MX"/>
        </w:rPr>
      </w:pPr>
      <w:r w:rsidRPr="00864E54">
        <w:rPr>
          <w:rFonts w:ascii="Segoe UI" w:eastAsia="Times New Roman" w:hAnsi="Segoe UI" w:cs="Segoe UI"/>
          <w:color w:val="0F1419"/>
          <w:sz w:val="30"/>
          <w:szCs w:val="30"/>
          <w:lang w:eastAsia="es-MX"/>
        </w:rPr>
        <w:t xml:space="preserve">Para ilustrar la solidez de los valores esperados: la Correlación de Pearson, a partir de los 30 partidos, alcanza un 0.992 sobre 1.00. </w:t>
      </w:r>
    </w:p>
    <w:p w14:paraId="6DB8DD7A" w14:textId="7D406A68" w:rsidR="00864E54" w:rsidRPr="00864E54" w:rsidRDefault="00864E54" w:rsidP="00864E54">
      <w:pPr>
        <w:shd w:val="clear" w:color="auto" w:fill="FFFFFF"/>
        <w:spacing w:after="0" w:line="240" w:lineRule="auto"/>
        <w:rPr>
          <w:rFonts w:ascii="Segoe UI" w:eastAsia="Times New Roman" w:hAnsi="Segoe UI" w:cs="Segoe UI"/>
          <w:color w:val="0F1419"/>
          <w:sz w:val="30"/>
          <w:szCs w:val="30"/>
          <w:lang w:eastAsia="es-MX"/>
        </w:rPr>
      </w:pPr>
      <w:r w:rsidRPr="00864E54">
        <w:rPr>
          <w:rFonts w:ascii="Segoe UI" w:eastAsia="Times New Roman" w:hAnsi="Segoe UI" w:cs="Segoe UI"/>
          <w:color w:val="0F1419"/>
          <w:sz w:val="30"/>
          <w:szCs w:val="30"/>
          <w:lang w:eastAsia="es-MX"/>
        </w:rPr>
        <w:t>Los Puntos son, con enorme diferencia, el criterio más determinante para calificar al mundial. Pero ¿qué pasa con los otros datos?</w:t>
      </w:r>
    </w:p>
    <w:p w14:paraId="6F32D9B5" w14:textId="1CE745BD" w:rsidR="00864E54" w:rsidRDefault="00864E54" w:rsidP="00864E54">
      <w:pPr>
        <w:shd w:val="clear" w:color="auto" w:fill="FFFFFF"/>
        <w:spacing w:after="0" w:line="240" w:lineRule="auto"/>
        <w:rPr>
          <w:rFonts w:ascii="Segoe UI" w:eastAsia="Times New Roman" w:hAnsi="Segoe UI" w:cs="Segoe UI"/>
          <w:color w:val="0F1419"/>
          <w:sz w:val="30"/>
          <w:szCs w:val="30"/>
          <w:lang w:eastAsia="es-MX"/>
        </w:rPr>
      </w:pPr>
    </w:p>
    <w:p w14:paraId="6F6B2A3D" w14:textId="2B3F088D" w:rsidR="00864E54" w:rsidRDefault="00864E54" w:rsidP="00864E54">
      <w:pPr>
        <w:shd w:val="clear" w:color="auto" w:fill="FFFFFF"/>
        <w:spacing w:after="0" w:line="240" w:lineRule="auto"/>
        <w:rPr>
          <w:rFonts w:ascii="Segoe UI" w:eastAsia="Times New Roman" w:hAnsi="Segoe UI" w:cs="Segoe UI"/>
          <w:color w:val="0F1419"/>
          <w:sz w:val="30"/>
          <w:szCs w:val="30"/>
          <w:lang w:eastAsia="es-MX"/>
        </w:rPr>
      </w:pPr>
    </w:p>
    <w:p w14:paraId="4D2C6E6C" w14:textId="1B41C033" w:rsidR="00864E54" w:rsidRPr="00864E54" w:rsidRDefault="00864E54" w:rsidP="00864E54">
      <w:pPr>
        <w:shd w:val="clear" w:color="auto" w:fill="FFFFFF"/>
        <w:spacing w:after="0" w:line="240" w:lineRule="auto"/>
        <w:rPr>
          <w:rFonts w:ascii="Segoe UI" w:eastAsia="Times New Roman" w:hAnsi="Segoe UI" w:cs="Segoe UI"/>
          <w:color w:val="0F1419"/>
          <w:sz w:val="30"/>
          <w:szCs w:val="30"/>
          <w:lang w:eastAsia="es-MX"/>
        </w:rPr>
      </w:pPr>
      <w:r w:rsidRPr="00864E54">
        <w:rPr>
          <w:rFonts w:ascii="Segoe UI" w:eastAsia="Times New Roman" w:hAnsi="Segoe UI" w:cs="Segoe UI"/>
          <w:color w:val="0F1419"/>
          <w:sz w:val="30"/>
          <w:szCs w:val="30"/>
          <w:lang w:eastAsia="es-MX"/>
        </w:rPr>
        <w:t xml:space="preserve">CONMEBOL ha entregado el 100% de los puntos esperados, mientras que CONCACAF solo el 95%, esto debido a que en esta última han ocurrido más empates (22) que los empates esperados (14.3). </w:t>
      </w:r>
    </w:p>
    <w:p w14:paraId="3C94FD6D" w14:textId="77777777" w:rsidR="00864E54" w:rsidRPr="00864E54" w:rsidRDefault="00864E54" w:rsidP="00864E54">
      <w:pPr>
        <w:shd w:val="clear" w:color="auto" w:fill="FFFFFF"/>
        <w:spacing w:after="0" w:line="240" w:lineRule="auto"/>
        <w:rPr>
          <w:rFonts w:ascii="Segoe UI" w:eastAsia="Times New Roman" w:hAnsi="Segoe UI" w:cs="Segoe UI"/>
          <w:color w:val="0F1419"/>
          <w:sz w:val="30"/>
          <w:szCs w:val="30"/>
          <w:lang w:eastAsia="es-MX"/>
        </w:rPr>
      </w:pPr>
      <w:r w:rsidRPr="00864E54">
        <w:rPr>
          <w:rFonts w:ascii="Segoe UI" w:eastAsia="Times New Roman" w:hAnsi="Segoe UI" w:cs="Segoe UI"/>
          <w:color w:val="0F1419"/>
          <w:sz w:val="30"/>
          <w:szCs w:val="30"/>
          <w:lang w:eastAsia="es-MX"/>
        </w:rPr>
        <w:t>Ahora observemos los Goles vs Goles Esperados:</w:t>
      </w:r>
    </w:p>
    <w:p w14:paraId="2C37CAF0" w14:textId="368A9690" w:rsidR="00864E54" w:rsidRDefault="00864E54" w:rsidP="00864E54">
      <w:pPr>
        <w:shd w:val="clear" w:color="auto" w:fill="FFFFFF"/>
        <w:spacing w:after="0" w:line="240" w:lineRule="auto"/>
        <w:rPr>
          <w:rFonts w:ascii="Segoe UI" w:eastAsia="Times New Roman" w:hAnsi="Segoe UI" w:cs="Segoe UI"/>
          <w:color w:val="0F1419"/>
          <w:sz w:val="30"/>
          <w:szCs w:val="30"/>
          <w:lang w:eastAsia="es-MX"/>
        </w:rPr>
      </w:pPr>
      <w:r>
        <w:rPr>
          <w:rFonts w:ascii="Segoe UI" w:eastAsia="Times New Roman" w:hAnsi="Segoe UI" w:cs="Segoe UI"/>
          <w:color w:val="0F1419"/>
          <w:sz w:val="30"/>
          <w:szCs w:val="30"/>
          <w:lang w:eastAsia="es-MX"/>
        </w:rPr>
        <w:t>[GVSXG CONCACAF CONMEBOL]</w:t>
      </w:r>
    </w:p>
    <w:p w14:paraId="7DBED5D2" w14:textId="1D1DCC62" w:rsidR="00864E54" w:rsidRDefault="00864E54" w:rsidP="00864E54">
      <w:pPr>
        <w:shd w:val="clear" w:color="auto" w:fill="FFFFFF"/>
        <w:spacing w:after="0" w:line="240" w:lineRule="auto"/>
        <w:rPr>
          <w:rFonts w:ascii="Segoe UI" w:eastAsia="Times New Roman" w:hAnsi="Segoe UI" w:cs="Segoe UI"/>
          <w:color w:val="0F1419"/>
          <w:sz w:val="30"/>
          <w:szCs w:val="30"/>
          <w:lang w:eastAsia="es-MX"/>
        </w:rPr>
      </w:pPr>
    </w:p>
    <w:p w14:paraId="1B367F14" w14:textId="14B5F3F1" w:rsidR="00864E54" w:rsidRDefault="00864E54" w:rsidP="00864E54">
      <w:pPr>
        <w:shd w:val="clear" w:color="auto" w:fill="FFFFFF"/>
        <w:spacing w:after="0" w:line="240" w:lineRule="auto"/>
        <w:rPr>
          <w:rFonts w:ascii="Segoe UI" w:eastAsia="Times New Roman" w:hAnsi="Segoe UI" w:cs="Segoe UI"/>
          <w:color w:val="0F1419"/>
          <w:sz w:val="30"/>
          <w:szCs w:val="30"/>
          <w:lang w:eastAsia="es-MX"/>
        </w:rPr>
      </w:pPr>
    </w:p>
    <w:p w14:paraId="30D0D2E2" w14:textId="01336093" w:rsidR="00864E54" w:rsidRPr="00864E54" w:rsidRDefault="00864E54" w:rsidP="00864E54">
      <w:pPr>
        <w:shd w:val="clear" w:color="auto" w:fill="FFFFFF"/>
        <w:spacing w:after="0" w:line="240" w:lineRule="auto"/>
        <w:rPr>
          <w:rFonts w:ascii="Segoe UI" w:eastAsia="Times New Roman" w:hAnsi="Segoe UI" w:cs="Segoe UI"/>
          <w:color w:val="0F1419"/>
          <w:sz w:val="30"/>
          <w:szCs w:val="30"/>
          <w:lang w:eastAsia="es-MX"/>
        </w:rPr>
      </w:pPr>
      <w:r w:rsidRPr="00864E54">
        <w:rPr>
          <w:rFonts w:ascii="Segoe UI" w:eastAsia="Times New Roman" w:hAnsi="Segoe UI" w:cs="Segoe UI"/>
          <w:color w:val="0F1419"/>
          <w:sz w:val="30"/>
          <w:szCs w:val="30"/>
          <w:lang w:eastAsia="es-MX"/>
        </w:rPr>
        <w:t>En CONCACAF solo Panamá ha anotado más goles de lo que esperan las Casas de Apuestas, mientras que en CONMEBOL solo Ecuador y Bolivia lo han hecho. Pero ¿en qué medida se han anotado menos goles? Concretamente:</w:t>
      </w:r>
    </w:p>
    <w:p w14:paraId="5636EF48" w14:textId="77777777" w:rsidR="00864E54" w:rsidRPr="00864E54" w:rsidRDefault="00864E54" w:rsidP="00864E54">
      <w:pPr>
        <w:shd w:val="clear" w:color="auto" w:fill="FFFFFF"/>
        <w:spacing w:after="0" w:line="240" w:lineRule="auto"/>
        <w:rPr>
          <w:rFonts w:ascii="Segoe UI" w:eastAsia="Times New Roman" w:hAnsi="Segoe UI" w:cs="Segoe UI"/>
          <w:color w:val="0F1419"/>
          <w:sz w:val="30"/>
          <w:szCs w:val="30"/>
          <w:lang w:eastAsia="es-MX"/>
        </w:rPr>
      </w:pPr>
      <w:r w:rsidRPr="00864E54">
        <w:rPr>
          <w:rFonts w:ascii="Segoe UI" w:eastAsia="Times New Roman" w:hAnsi="Segoe UI" w:cs="Segoe UI"/>
          <w:color w:val="0F1419"/>
          <w:sz w:val="30"/>
          <w:szCs w:val="30"/>
          <w:lang w:eastAsia="es-MX"/>
        </w:rPr>
        <w:t>CONCACAF: 74%</w:t>
      </w:r>
    </w:p>
    <w:p w14:paraId="14868C6E" w14:textId="77777777" w:rsidR="00864E54" w:rsidRPr="00864E54" w:rsidRDefault="00864E54" w:rsidP="00864E54">
      <w:pPr>
        <w:shd w:val="clear" w:color="auto" w:fill="FFFFFF"/>
        <w:spacing w:after="0" w:line="240" w:lineRule="auto"/>
        <w:rPr>
          <w:rFonts w:ascii="Segoe UI" w:eastAsia="Times New Roman" w:hAnsi="Segoe UI" w:cs="Segoe UI"/>
          <w:color w:val="0F1419"/>
          <w:sz w:val="30"/>
          <w:szCs w:val="30"/>
          <w:lang w:eastAsia="es-MX"/>
        </w:rPr>
      </w:pPr>
      <w:r w:rsidRPr="00864E54">
        <w:rPr>
          <w:rFonts w:ascii="Segoe UI" w:eastAsia="Times New Roman" w:hAnsi="Segoe UI" w:cs="Segoe UI"/>
          <w:color w:val="0F1419"/>
          <w:sz w:val="30"/>
          <w:szCs w:val="30"/>
          <w:lang w:eastAsia="es-MX"/>
        </w:rPr>
        <w:t>CONMEBOL: 87%</w:t>
      </w:r>
    </w:p>
    <w:p w14:paraId="235C1794" w14:textId="77777777" w:rsidR="00864E54" w:rsidRPr="00864E54" w:rsidRDefault="00864E54" w:rsidP="00864E54">
      <w:pPr>
        <w:shd w:val="clear" w:color="auto" w:fill="FFFFFF"/>
        <w:spacing w:after="0" w:line="240" w:lineRule="auto"/>
        <w:rPr>
          <w:rFonts w:ascii="Segoe UI" w:eastAsia="Times New Roman" w:hAnsi="Segoe UI" w:cs="Segoe UI"/>
          <w:color w:val="0F1419"/>
          <w:sz w:val="30"/>
          <w:szCs w:val="30"/>
          <w:lang w:eastAsia="es-MX"/>
        </w:rPr>
      </w:pPr>
    </w:p>
    <w:sectPr w:rsidR="00864E54" w:rsidRPr="00864E54" w:rsidSect="00864E5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E54"/>
    <w:rsid w:val="006F5F94"/>
    <w:rsid w:val="00864E54"/>
    <w:rsid w:val="00F64F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2AF49"/>
  <w15:chartTrackingRefBased/>
  <w15:docId w15:val="{9FB3959C-AE93-46D1-A3CC-B853ADE04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0781">
      <w:bodyDiv w:val="1"/>
      <w:marLeft w:val="0"/>
      <w:marRight w:val="0"/>
      <w:marTop w:val="0"/>
      <w:marBottom w:val="0"/>
      <w:divBdr>
        <w:top w:val="none" w:sz="0" w:space="0" w:color="auto"/>
        <w:left w:val="none" w:sz="0" w:space="0" w:color="auto"/>
        <w:bottom w:val="none" w:sz="0" w:space="0" w:color="auto"/>
        <w:right w:val="none" w:sz="0" w:space="0" w:color="auto"/>
      </w:divBdr>
      <w:divsChild>
        <w:div w:id="129634506">
          <w:marLeft w:val="0"/>
          <w:marRight w:val="0"/>
          <w:marTop w:val="0"/>
          <w:marBottom w:val="0"/>
          <w:divBdr>
            <w:top w:val="none" w:sz="0" w:space="0" w:color="auto"/>
            <w:left w:val="none" w:sz="0" w:space="0" w:color="auto"/>
            <w:bottom w:val="none" w:sz="0" w:space="0" w:color="auto"/>
            <w:right w:val="none" w:sz="0" w:space="0" w:color="auto"/>
          </w:divBdr>
        </w:div>
        <w:div w:id="614408318">
          <w:marLeft w:val="0"/>
          <w:marRight w:val="0"/>
          <w:marTop w:val="0"/>
          <w:marBottom w:val="0"/>
          <w:divBdr>
            <w:top w:val="none" w:sz="0" w:space="0" w:color="auto"/>
            <w:left w:val="none" w:sz="0" w:space="0" w:color="auto"/>
            <w:bottom w:val="none" w:sz="0" w:space="0" w:color="auto"/>
            <w:right w:val="none" w:sz="0" w:space="0" w:color="auto"/>
          </w:divBdr>
        </w:div>
        <w:div w:id="201982078">
          <w:marLeft w:val="0"/>
          <w:marRight w:val="0"/>
          <w:marTop w:val="0"/>
          <w:marBottom w:val="0"/>
          <w:divBdr>
            <w:top w:val="none" w:sz="0" w:space="0" w:color="auto"/>
            <w:left w:val="none" w:sz="0" w:space="0" w:color="auto"/>
            <w:bottom w:val="none" w:sz="0" w:space="0" w:color="auto"/>
            <w:right w:val="none" w:sz="0" w:space="0" w:color="auto"/>
          </w:divBdr>
        </w:div>
        <w:div w:id="1707024940">
          <w:marLeft w:val="0"/>
          <w:marRight w:val="0"/>
          <w:marTop w:val="0"/>
          <w:marBottom w:val="0"/>
          <w:divBdr>
            <w:top w:val="none" w:sz="0" w:space="0" w:color="auto"/>
            <w:left w:val="none" w:sz="0" w:space="0" w:color="auto"/>
            <w:bottom w:val="none" w:sz="0" w:space="0" w:color="auto"/>
            <w:right w:val="none" w:sz="0" w:space="0" w:color="auto"/>
          </w:divBdr>
        </w:div>
      </w:divsChild>
    </w:div>
    <w:div w:id="57291763">
      <w:bodyDiv w:val="1"/>
      <w:marLeft w:val="0"/>
      <w:marRight w:val="0"/>
      <w:marTop w:val="0"/>
      <w:marBottom w:val="0"/>
      <w:divBdr>
        <w:top w:val="none" w:sz="0" w:space="0" w:color="auto"/>
        <w:left w:val="none" w:sz="0" w:space="0" w:color="auto"/>
        <w:bottom w:val="none" w:sz="0" w:space="0" w:color="auto"/>
        <w:right w:val="none" w:sz="0" w:space="0" w:color="auto"/>
      </w:divBdr>
      <w:divsChild>
        <w:div w:id="62140073">
          <w:marLeft w:val="0"/>
          <w:marRight w:val="0"/>
          <w:marTop w:val="0"/>
          <w:marBottom w:val="0"/>
          <w:divBdr>
            <w:top w:val="none" w:sz="0" w:space="0" w:color="auto"/>
            <w:left w:val="none" w:sz="0" w:space="0" w:color="auto"/>
            <w:bottom w:val="none" w:sz="0" w:space="0" w:color="auto"/>
            <w:right w:val="none" w:sz="0" w:space="0" w:color="auto"/>
          </w:divBdr>
        </w:div>
        <w:div w:id="725184123">
          <w:marLeft w:val="0"/>
          <w:marRight w:val="0"/>
          <w:marTop w:val="0"/>
          <w:marBottom w:val="0"/>
          <w:divBdr>
            <w:top w:val="none" w:sz="0" w:space="0" w:color="auto"/>
            <w:left w:val="none" w:sz="0" w:space="0" w:color="auto"/>
            <w:bottom w:val="none" w:sz="0" w:space="0" w:color="auto"/>
            <w:right w:val="none" w:sz="0" w:space="0" w:color="auto"/>
          </w:divBdr>
        </w:div>
        <w:div w:id="483858921">
          <w:marLeft w:val="0"/>
          <w:marRight w:val="0"/>
          <w:marTop w:val="0"/>
          <w:marBottom w:val="0"/>
          <w:divBdr>
            <w:top w:val="none" w:sz="0" w:space="0" w:color="auto"/>
            <w:left w:val="none" w:sz="0" w:space="0" w:color="auto"/>
            <w:bottom w:val="none" w:sz="0" w:space="0" w:color="auto"/>
            <w:right w:val="none" w:sz="0" w:space="0" w:color="auto"/>
          </w:divBdr>
        </w:div>
      </w:divsChild>
    </w:div>
    <w:div w:id="1385064017">
      <w:bodyDiv w:val="1"/>
      <w:marLeft w:val="0"/>
      <w:marRight w:val="0"/>
      <w:marTop w:val="0"/>
      <w:marBottom w:val="0"/>
      <w:divBdr>
        <w:top w:val="none" w:sz="0" w:space="0" w:color="auto"/>
        <w:left w:val="none" w:sz="0" w:space="0" w:color="auto"/>
        <w:bottom w:val="none" w:sz="0" w:space="0" w:color="auto"/>
        <w:right w:val="none" w:sz="0" w:space="0" w:color="auto"/>
      </w:divBdr>
      <w:divsChild>
        <w:div w:id="467090048">
          <w:marLeft w:val="0"/>
          <w:marRight w:val="0"/>
          <w:marTop w:val="0"/>
          <w:marBottom w:val="0"/>
          <w:divBdr>
            <w:top w:val="none" w:sz="0" w:space="0" w:color="auto"/>
            <w:left w:val="none" w:sz="0" w:space="0" w:color="auto"/>
            <w:bottom w:val="none" w:sz="0" w:space="0" w:color="auto"/>
            <w:right w:val="none" w:sz="0" w:space="0" w:color="auto"/>
          </w:divBdr>
        </w:div>
        <w:div w:id="1314797527">
          <w:marLeft w:val="0"/>
          <w:marRight w:val="0"/>
          <w:marTop w:val="0"/>
          <w:marBottom w:val="0"/>
          <w:divBdr>
            <w:top w:val="none" w:sz="0" w:space="0" w:color="auto"/>
            <w:left w:val="none" w:sz="0" w:space="0" w:color="auto"/>
            <w:bottom w:val="none" w:sz="0" w:space="0" w:color="auto"/>
            <w:right w:val="none" w:sz="0" w:space="0" w:color="auto"/>
          </w:divBdr>
        </w:div>
        <w:div w:id="1171990896">
          <w:marLeft w:val="0"/>
          <w:marRight w:val="0"/>
          <w:marTop w:val="0"/>
          <w:marBottom w:val="0"/>
          <w:divBdr>
            <w:top w:val="none" w:sz="0" w:space="0" w:color="auto"/>
            <w:left w:val="none" w:sz="0" w:space="0" w:color="auto"/>
            <w:bottom w:val="none" w:sz="0" w:space="0" w:color="auto"/>
            <w:right w:val="none" w:sz="0" w:space="0" w:color="auto"/>
          </w:divBdr>
        </w:div>
      </w:divsChild>
    </w:div>
    <w:div w:id="1921403415">
      <w:bodyDiv w:val="1"/>
      <w:marLeft w:val="0"/>
      <w:marRight w:val="0"/>
      <w:marTop w:val="0"/>
      <w:marBottom w:val="0"/>
      <w:divBdr>
        <w:top w:val="none" w:sz="0" w:space="0" w:color="auto"/>
        <w:left w:val="none" w:sz="0" w:space="0" w:color="auto"/>
        <w:bottom w:val="none" w:sz="0" w:space="0" w:color="auto"/>
        <w:right w:val="none" w:sz="0" w:space="0" w:color="auto"/>
      </w:divBdr>
      <w:divsChild>
        <w:div w:id="484198916">
          <w:marLeft w:val="0"/>
          <w:marRight w:val="0"/>
          <w:marTop w:val="0"/>
          <w:marBottom w:val="0"/>
          <w:divBdr>
            <w:top w:val="none" w:sz="0" w:space="0" w:color="auto"/>
            <w:left w:val="none" w:sz="0" w:space="0" w:color="auto"/>
            <w:bottom w:val="none" w:sz="0" w:space="0" w:color="auto"/>
            <w:right w:val="none" w:sz="0" w:space="0" w:color="auto"/>
          </w:divBdr>
        </w:div>
        <w:div w:id="442388552">
          <w:marLeft w:val="0"/>
          <w:marRight w:val="0"/>
          <w:marTop w:val="0"/>
          <w:marBottom w:val="0"/>
          <w:divBdr>
            <w:top w:val="none" w:sz="0" w:space="0" w:color="auto"/>
            <w:left w:val="none" w:sz="0" w:space="0" w:color="auto"/>
            <w:bottom w:val="none" w:sz="0" w:space="0" w:color="auto"/>
            <w:right w:val="none" w:sz="0" w:space="0" w:color="auto"/>
          </w:divBdr>
        </w:div>
        <w:div w:id="1853909219">
          <w:marLeft w:val="0"/>
          <w:marRight w:val="0"/>
          <w:marTop w:val="0"/>
          <w:marBottom w:val="0"/>
          <w:divBdr>
            <w:top w:val="none" w:sz="0" w:space="0" w:color="auto"/>
            <w:left w:val="none" w:sz="0" w:space="0" w:color="auto"/>
            <w:bottom w:val="none" w:sz="0" w:space="0" w:color="auto"/>
            <w:right w:val="none" w:sz="0" w:space="0" w:color="auto"/>
          </w:divBdr>
        </w:div>
      </w:divsChild>
    </w:div>
    <w:div w:id="1964529778">
      <w:bodyDiv w:val="1"/>
      <w:marLeft w:val="0"/>
      <w:marRight w:val="0"/>
      <w:marTop w:val="0"/>
      <w:marBottom w:val="0"/>
      <w:divBdr>
        <w:top w:val="none" w:sz="0" w:space="0" w:color="auto"/>
        <w:left w:val="none" w:sz="0" w:space="0" w:color="auto"/>
        <w:bottom w:val="none" w:sz="0" w:space="0" w:color="auto"/>
        <w:right w:val="none" w:sz="0" w:space="0" w:color="auto"/>
      </w:divBdr>
      <w:divsChild>
        <w:div w:id="2125229822">
          <w:marLeft w:val="0"/>
          <w:marRight w:val="0"/>
          <w:marTop w:val="0"/>
          <w:marBottom w:val="0"/>
          <w:divBdr>
            <w:top w:val="none" w:sz="0" w:space="0" w:color="auto"/>
            <w:left w:val="none" w:sz="0" w:space="0" w:color="auto"/>
            <w:bottom w:val="none" w:sz="0" w:space="0" w:color="auto"/>
            <w:right w:val="none" w:sz="0" w:space="0" w:color="auto"/>
          </w:divBdr>
        </w:div>
        <w:div w:id="520708324">
          <w:marLeft w:val="0"/>
          <w:marRight w:val="0"/>
          <w:marTop w:val="0"/>
          <w:marBottom w:val="0"/>
          <w:divBdr>
            <w:top w:val="none" w:sz="0" w:space="0" w:color="auto"/>
            <w:left w:val="none" w:sz="0" w:space="0" w:color="auto"/>
            <w:bottom w:val="none" w:sz="0" w:space="0" w:color="auto"/>
            <w:right w:val="none" w:sz="0" w:space="0" w:color="auto"/>
          </w:divBdr>
        </w:div>
        <w:div w:id="1070545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1224</TotalTime>
  <Pages>2</Pages>
  <Words>403</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Eduardo González Meléndez</dc:creator>
  <cp:keywords/>
  <dc:description/>
  <cp:lastModifiedBy>Jaime Eduardo González Meléndez</cp:lastModifiedBy>
  <cp:revision>1</cp:revision>
  <dcterms:created xsi:type="dcterms:W3CDTF">2021-11-15T19:17:00Z</dcterms:created>
  <dcterms:modified xsi:type="dcterms:W3CDTF">2021-11-17T15:49:00Z</dcterms:modified>
</cp:coreProperties>
</file>