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282CF" w14:textId="4A701B3D" w:rsidR="00693FA0" w:rsidRDefault="009573DA" w:rsidP="009573DA">
      <w:pPr>
        <w:pStyle w:val="Ttulo1"/>
      </w:pPr>
      <w:proofErr w:type="spellStart"/>
      <w:r>
        <w:t>SoccerFreaknomics</w:t>
      </w:r>
      <w:proofErr w:type="spellEnd"/>
    </w:p>
    <w:p w14:paraId="5F2F2303" w14:textId="5A90C93A" w:rsidR="009573DA" w:rsidRPr="009573DA" w:rsidRDefault="009573DA" w:rsidP="009573DA">
      <w:r>
        <w:t>Por Jaime Meléndez</w:t>
      </w:r>
    </w:p>
    <w:p w14:paraId="6B0474DD" w14:textId="48D8A8EE" w:rsidR="00693FA0" w:rsidRDefault="00693FA0">
      <w:r>
        <w:t>Existen tres formatos de apuestas deportivas en el mundo</w:t>
      </w:r>
      <w:r w:rsidR="009573DA">
        <w:t xml:space="preserve">: decimal, fraccional y americano (más algunas variaciones comunes). Para fines de estas aportaciones emplearé principalmente el decimal, tomando como primer ejemplo el partido Leicester vs </w:t>
      </w:r>
      <w:proofErr w:type="spellStart"/>
      <w:r w:rsidR="009573DA">
        <w:t>ManU</w:t>
      </w:r>
      <w:proofErr w:type="spellEnd"/>
      <w:r w:rsidR="009573DA">
        <w:t xml:space="preserve">. </w:t>
      </w:r>
      <w:r>
        <w:t>El portal de apuestas BWIN distribuye sus pagos de la siguiente forma:</w:t>
      </w:r>
    </w:p>
    <w:tbl>
      <w:tblPr>
        <w:tblStyle w:val="Tablaconcuadrcula4-nfasis1"/>
        <w:tblW w:w="0" w:type="auto"/>
        <w:tblInd w:w="562" w:type="dxa"/>
        <w:tblLook w:val="04A0" w:firstRow="1" w:lastRow="0" w:firstColumn="1" w:lastColumn="0" w:noHBand="0" w:noVBand="1"/>
      </w:tblPr>
      <w:tblGrid>
        <w:gridCol w:w="2380"/>
        <w:gridCol w:w="2943"/>
        <w:gridCol w:w="2474"/>
      </w:tblGrid>
      <w:tr w:rsidR="00693FA0" w:rsidRPr="00693FA0" w14:paraId="7B4C9220" w14:textId="77777777" w:rsidTr="00693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Align w:val="center"/>
          </w:tcPr>
          <w:p w14:paraId="4D8EC398" w14:textId="3FB14B7F" w:rsidR="00693FA0" w:rsidRPr="00693FA0" w:rsidRDefault="00693FA0" w:rsidP="00693FA0">
            <w:pPr>
              <w:jc w:val="center"/>
              <w:rPr>
                <w:sz w:val="28"/>
                <w:szCs w:val="28"/>
              </w:rPr>
            </w:pPr>
            <w:r w:rsidRPr="00693FA0">
              <w:rPr>
                <w:sz w:val="28"/>
                <w:szCs w:val="28"/>
              </w:rPr>
              <w:t>Victoria de Leicester City</w:t>
            </w:r>
          </w:p>
        </w:tc>
        <w:tc>
          <w:tcPr>
            <w:tcW w:w="2943" w:type="dxa"/>
            <w:vAlign w:val="center"/>
          </w:tcPr>
          <w:p w14:paraId="78F28C49" w14:textId="79F866B1" w:rsidR="00693FA0" w:rsidRPr="00693FA0" w:rsidRDefault="00693FA0" w:rsidP="00693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3FA0">
              <w:rPr>
                <w:sz w:val="28"/>
                <w:szCs w:val="28"/>
              </w:rPr>
              <w:t>Empate</w:t>
            </w:r>
          </w:p>
        </w:tc>
        <w:tc>
          <w:tcPr>
            <w:tcW w:w="2474" w:type="dxa"/>
            <w:vAlign w:val="center"/>
          </w:tcPr>
          <w:p w14:paraId="0BFCC635" w14:textId="5AFF1692" w:rsidR="00693FA0" w:rsidRPr="00693FA0" w:rsidRDefault="00693FA0" w:rsidP="00693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3FA0">
              <w:rPr>
                <w:sz w:val="28"/>
                <w:szCs w:val="28"/>
              </w:rPr>
              <w:t xml:space="preserve">Victoria de Manchester </w:t>
            </w:r>
            <w:proofErr w:type="spellStart"/>
            <w:r w:rsidRPr="00693FA0">
              <w:rPr>
                <w:sz w:val="28"/>
                <w:szCs w:val="28"/>
              </w:rPr>
              <w:t>United</w:t>
            </w:r>
            <w:proofErr w:type="spellEnd"/>
          </w:p>
        </w:tc>
      </w:tr>
      <w:tr w:rsidR="00693FA0" w:rsidRPr="00693FA0" w14:paraId="7D476F31" w14:textId="77777777" w:rsidTr="00693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Align w:val="center"/>
          </w:tcPr>
          <w:p w14:paraId="438EE2A4" w14:textId="4120CDA2" w:rsidR="00693FA0" w:rsidRPr="00693FA0" w:rsidRDefault="00693FA0" w:rsidP="00693FA0">
            <w:pPr>
              <w:jc w:val="center"/>
              <w:rPr>
                <w:sz w:val="28"/>
                <w:szCs w:val="28"/>
              </w:rPr>
            </w:pPr>
            <w:r w:rsidRPr="00693FA0">
              <w:rPr>
                <w:sz w:val="28"/>
                <w:szCs w:val="28"/>
              </w:rPr>
              <w:t>3.2</w:t>
            </w:r>
          </w:p>
        </w:tc>
        <w:tc>
          <w:tcPr>
            <w:tcW w:w="2943" w:type="dxa"/>
            <w:vAlign w:val="center"/>
          </w:tcPr>
          <w:p w14:paraId="5B9981B9" w14:textId="2797BD24" w:rsidR="00693FA0" w:rsidRPr="00693FA0" w:rsidRDefault="00693FA0" w:rsidP="00693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93FA0">
              <w:rPr>
                <w:b/>
                <w:bCs/>
                <w:sz w:val="28"/>
                <w:szCs w:val="28"/>
              </w:rPr>
              <w:t>3.5</w:t>
            </w:r>
          </w:p>
        </w:tc>
        <w:tc>
          <w:tcPr>
            <w:tcW w:w="2474" w:type="dxa"/>
            <w:vAlign w:val="center"/>
          </w:tcPr>
          <w:p w14:paraId="2B126F60" w14:textId="65DB02D2" w:rsidR="00693FA0" w:rsidRPr="00693FA0" w:rsidRDefault="00693FA0" w:rsidP="00693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93FA0">
              <w:rPr>
                <w:b/>
                <w:bCs/>
                <w:sz w:val="28"/>
                <w:szCs w:val="28"/>
              </w:rPr>
              <w:t>2.2</w:t>
            </w:r>
          </w:p>
        </w:tc>
      </w:tr>
    </w:tbl>
    <w:p w14:paraId="13F77FF6" w14:textId="5F17E578" w:rsidR="00693FA0" w:rsidRDefault="00693FA0"/>
    <w:p w14:paraId="32CB26E1" w14:textId="6B0557BB" w:rsidR="00693FA0" w:rsidRDefault="009573DA">
      <w:r>
        <w:t>En pocas palabras, el número funciona como un multiplicador en el que si, por ejemplo, el partido termina en empate y tú apostaste $1.00 a ese resultado, te llevaras</w:t>
      </w:r>
      <w:r w:rsidR="002800E6">
        <w:t xml:space="preserve"> $3.50 como pago. Este multiplicador se le llama momio (en inglés </w:t>
      </w:r>
      <w:proofErr w:type="spellStart"/>
      <w:r w:rsidR="002800E6" w:rsidRPr="002800E6">
        <w:rPr>
          <w:i/>
          <w:iCs/>
        </w:rPr>
        <w:t>odds</w:t>
      </w:r>
      <w:proofErr w:type="spellEnd"/>
      <w:r w:rsidR="002800E6">
        <w:t>), pero ¿qué hay detrás del momio? En una palabra: Probabilidad. Para convertir un momio decimal a su respectiva Probabilidad Implícita basta con hacer una división:</w:t>
      </w:r>
    </w:p>
    <w:p w14:paraId="2EEED4AB" w14:textId="77777777" w:rsidR="002800E6" w:rsidRPr="00F36DE7" w:rsidRDefault="002800E6" w:rsidP="002800E6">
      <w:pPr>
        <w:jc w:val="both"/>
        <w:rPr>
          <w:rFonts w:eastAsiaTheme="minorEastAsia"/>
          <w:b/>
          <w:bCs/>
          <w:color w:val="00B05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B050"/>
            </w:rPr>
            <m:t>Probabilidad=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00B05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</w:rPr>
                <m:t>Momio</m:t>
              </m:r>
            </m:den>
          </m:f>
        </m:oMath>
      </m:oMathPara>
    </w:p>
    <w:p w14:paraId="7F4D954B" w14:textId="33ACF060" w:rsidR="002800E6" w:rsidRDefault="002800E6">
      <w:r>
        <w:t>De esta forma, la tabla anterior, incluyendo sus probabilidades (expresadas en probabilidades), quedaría así:</w:t>
      </w:r>
    </w:p>
    <w:tbl>
      <w:tblPr>
        <w:tblStyle w:val="Tablaconcuadrcula4-nfasis1"/>
        <w:tblW w:w="0" w:type="auto"/>
        <w:tblInd w:w="562" w:type="dxa"/>
        <w:tblLook w:val="04A0" w:firstRow="1" w:lastRow="0" w:firstColumn="1" w:lastColumn="0" w:noHBand="0" w:noVBand="1"/>
      </w:tblPr>
      <w:tblGrid>
        <w:gridCol w:w="2380"/>
        <w:gridCol w:w="2943"/>
        <w:gridCol w:w="2474"/>
      </w:tblGrid>
      <w:tr w:rsidR="002800E6" w:rsidRPr="00693FA0" w14:paraId="518C9783" w14:textId="77777777" w:rsidTr="00610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Align w:val="center"/>
          </w:tcPr>
          <w:p w14:paraId="265D479E" w14:textId="05749EEA" w:rsidR="002800E6" w:rsidRPr="00693FA0" w:rsidRDefault="002800E6" w:rsidP="006100C6">
            <w:pPr>
              <w:jc w:val="center"/>
              <w:rPr>
                <w:sz w:val="28"/>
                <w:szCs w:val="28"/>
              </w:rPr>
            </w:pPr>
            <w:r w:rsidRPr="00693FA0">
              <w:rPr>
                <w:sz w:val="28"/>
                <w:szCs w:val="28"/>
              </w:rPr>
              <w:t>Victoria de Leicester City</w:t>
            </w:r>
          </w:p>
        </w:tc>
        <w:tc>
          <w:tcPr>
            <w:tcW w:w="2943" w:type="dxa"/>
            <w:vAlign w:val="center"/>
          </w:tcPr>
          <w:p w14:paraId="63914772" w14:textId="77777777" w:rsidR="002800E6" w:rsidRPr="00693FA0" w:rsidRDefault="002800E6" w:rsidP="0061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3FA0">
              <w:rPr>
                <w:sz w:val="28"/>
                <w:szCs w:val="28"/>
              </w:rPr>
              <w:t>Empate</w:t>
            </w:r>
          </w:p>
        </w:tc>
        <w:tc>
          <w:tcPr>
            <w:tcW w:w="2474" w:type="dxa"/>
            <w:vAlign w:val="center"/>
          </w:tcPr>
          <w:p w14:paraId="576ED274" w14:textId="77777777" w:rsidR="002800E6" w:rsidRPr="00693FA0" w:rsidRDefault="002800E6" w:rsidP="00610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93FA0">
              <w:rPr>
                <w:sz w:val="28"/>
                <w:szCs w:val="28"/>
              </w:rPr>
              <w:t xml:space="preserve">Victoria de Manchester </w:t>
            </w:r>
            <w:proofErr w:type="spellStart"/>
            <w:r w:rsidRPr="00693FA0">
              <w:rPr>
                <w:sz w:val="28"/>
                <w:szCs w:val="28"/>
              </w:rPr>
              <w:t>United</w:t>
            </w:r>
            <w:proofErr w:type="spellEnd"/>
          </w:p>
        </w:tc>
      </w:tr>
      <w:tr w:rsidR="002800E6" w:rsidRPr="002800E6" w14:paraId="11DA89F7" w14:textId="77777777" w:rsidTr="00610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Align w:val="center"/>
          </w:tcPr>
          <w:p w14:paraId="199D6199" w14:textId="77777777" w:rsidR="002800E6" w:rsidRPr="002800E6" w:rsidRDefault="002800E6" w:rsidP="006100C6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2800E6">
              <w:rPr>
                <w:b w:val="0"/>
                <w:bCs w:val="0"/>
                <w:sz w:val="28"/>
                <w:szCs w:val="28"/>
              </w:rPr>
              <w:t>3.2</w:t>
            </w:r>
          </w:p>
        </w:tc>
        <w:tc>
          <w:tcPr>
            <w:tcW w:w="2943" w:type="dxa"/>
            <w:vAlign w:val="center"/>
          </w:tcPr>
          <w:p w14:paraId="45B5D85D" w14:textId="77777777" w:rsidR="002800E6" w:rsidRPr="002800E6" w:rsidRDefault="002800E6" w:rsidP="00610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800E6">
              <w:rPr>
                <w:sz w:val="28"/>
                <w:szCs w:val="28"/>
              </w:rPr>
              <w:t>3.5</w:t>
            </w:r>
          </w:p>
        </w:tc>
        <w:tc>
          <w:tcPr>
            <w:tcW w:w="2474" w:type="dxa"/>
            <w:vAlign w:val="center"/>
          </w:tcPr>
          <w:p w14:paraId="6C3A40F3" w14:textId="77777777" w:rsidR="002800E6" w:rsidRPr="002800E6" w:rsidRDefault="002800E6" w:rsidP="00610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800E6">
              <w:rPr>
                <w:sz w:val="28"/>
                <w:szCs w:val="28"/>
              </w:rPr>
              <w:t>2.2</w:t>
            </w:r>
          </w:p>
        </w:tc>
      </w:tr>
      <w:tr w:rsidR="002800E6" w:rsidRPr="002800E6" w14:paraId="79CA0639" w14:textId="77777777" w:rsidTr="00610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vAlign w:val="center"/>
          </w:tcPr>
          <w:p w14:paraId="09F02C41" w14:textId="4D37C163" w:rsidR="002800E6" w:rsidRPr="002800E6" w:rsidRDefault="002800E6" w:rsidP="006100C6">
            <w:pPr>
              <w:jc w:val="center"/>
              <w:rPr>
                <w:color w:val="FF0000"/>
                <w:sz w:val="28"/>
                <w:szCs w:val="28"/>
              </w:rPr>
            </w:pPr>
            <w:r w:rsidRPr="002800E6">
              <w:rPr>
                <w:color w:val="FF0000"/>
                <w:sz w:val="28"/>
                <w:szCs w:val="28"/>
              </w:rPr>
              <w:t>31%</w:t>
            </w:r>
          </w:p>
        </w:tc>
        <w:tc>
          <w:tcPr>
            <w:tcW w:w="2943" w:type="dxa"/>
            <w:vAlign w:val="center"/>
          </w:tcPr>
          <w:p w14:paraId="5DDE66B8" w14:textId="61E7EA3E" w:rsidR="002800E6" w:rsidRPr="002800E6" w:rsidRDefault="002800E6" w:rsidP="0061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8"/>
                <w:szCs w:val="28"/>
              </w:rPr>
            </w:pPr>
            <w:r w:rsidRPr="002800E6">
              <w:rPr>
                <w:b/>
                <w:bCs/>
                <w:color w:val="FF0000"/>
                <w:sz w:val="28"/>
                <w:szCs w:val="28"/>
              </w:rPr>
              <w:t>29%</w:t>
            </w:r>
          </w:p>
        </w:tc>
        <w:tc>
          <w:tcPr>
            <w:tcW w:w="2474" w:type="dxa"/>
            <w:vAlign w:val="center"/>
          </w:tcPr>
          <w:p w14:paraId="38178805" w14:textId="2DFAE89C" w:rsidR="002800E6" w:rsidRPr="002800E6" w:rsidRDefault="002800E6" w:rsidP="00610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45%</w:t>
            </w:r>
          </w:p>
        </w:tc>
      </w:tr>
    </w:tbl>
    <w:p w14:paraId="74E8E9C6" w14:textId="0DBA6BBC" w:rsidR="002800E6" w:rsidRDefault="002800E6"/>
    <w:p w14:paraId="43C3D494" w14:textId="47437CDC" w:rsidR="002800E6" w:rsidRDefault="002800E6">
      <w:r>
        <w:t>Pero hay un detalle, si sumamos los porcentajes, el resultado sería 105%</w:t>
      </w:r>
      <w:r w:rsidR="0016064F">
        <w:t xml:space="preserve"> y puede resultar curioso, pero ese excedente constituye la ganancia o </w:t>
      </w:r>
      <w:r w:rsidR="0016064F" w:rsidRPr="0016064F">
        <w:rPr>
          <w:i/>
          <w:iCs/>
        </w:rPr>
        <w:t>margen</w:t>
      </w:r>
      <w:r w:rsidR="0016064F">
        <w:t xml:space="preserve"> de la casa de apuestas. Dejaremos para una aportación posterior una explicación más detallada del</w:t>
      </w:r>
      <w:r w:rsidR="003A5C51">
        <w:t xml:space="preserve"> concepto de</w:t>
      </w:r>
      <w:r w:rsidR="0016064F">
        <w:t xml:space="preserve"> </w:t>
      </w:r>
      <w:r w:rsidR="003A5C51">
        <w:t>margen,</w:t>
      </w:r>
      <w:r w:rsidR="0016064F">
        <w:t xml:space="preserve"> </w:t>
      </w:r>
      <w:r w:rsidR="003A5C51">
        <w:t>pero</w:t>
      </w:r>
      <w:r w:rsidR="0016064F">
        <w:t>, por lo pronto, veamos un poco de números para tratar de entender un poco más</w:t>
      </w:r>
      <w:r w:rsidR="003A5C51">
        <w:t xml:space="preserve"> el porqué de esos momios.</w:t>
      </w:r>
    </w:p>
    <w:p w14:paraId="2DB42E18" w14:textId="75449E0E" w:rsidR="003A5C51" w:rsidRDefault="003A5C51">
      <w:r>
        <w:t>Utilizando datos del portal transfermarkt.com, tomando los valores de mercado (en euros) de los 22 jugadores con mayor valor en ambas plantillas, se dividieron en los mejores 11 y los peores 11 por cada equipo y se promediaron sus valores para obtener la siguiente tabla:</w:t>
      </w:r>
    </w:p>
    <w:tbl>
      <w:tblPr>
        <w:tblStyle w:val="Tablaconcuadrcula5oscura-nfasis6"/>
        <w:tblW w:w="0" w:type="auto"/>
        <w:tblInd w:w="988" w:type="dxa"/>
        <w:tblLook w:val="04A0" w:firstRow="1" w:lastRow="0" w:firstColumn="1" w:lastColumn="0" w:noHBand="0" w:noVBand="1"/>
      </w:tblPr>
      <w:tblGrid>
        <w:gridCol w:w="1954"/>
        <w:gridCol w:w="2582"/>
        <w:gridCol w:w="2551"/>
      </w:tblGrid>
      <w:tr w:rsidR="003A5C51" w:rsidRPr="00201E87" w14:paraId="5A568183" w14:textId="77777777" w:rsidTr="00201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660A371D" w14:textId="77777777" w:rsidR="003A5C51" w:rsidRPr="00201E87" w:rsidRDefault="003A5C51" w:rsidP="00201E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14:paraId="30F14B59" w14:textId="0FBD003D" w:rsidR="003A5C51" w:rsidRPr="00201E87" w:rsidRDefault="003A5C51" w:rsidP="00201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1E87">
              <w:rPr>
                <w:sz w:val="28"/>
                <w:szCs w:val="28"/>
              </w:rPr>
              <w:t>Leicester City</w:t>
            </w:r>
          </w:p>
        </w:tc>
        <w:tc>
          <w:tcPr>
            <w:tcW w:w="2551" w:type="dxa"/>
          </w:tcPr>
          <w:p w14:paraId="33E459D1" w14:textId="5F9E36E1" w:rsidR="003A5C51" w:rsidRPr="00201E87" w:rsidRDefault="003A5C51" w:rsidP="00201E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01E87">
              <w:rPr>
                <w:sz w:val="28"/>
                <w:szCs w:val="28"/>
              </w:rPr>
              <w:t xml:space="preserve">Manchester </w:t>
            </w:r>
            <w:proofErr w:type="spellStart"/>
            <w:r w:rsidRPr="00201E87">
              <w:rPr>
                <w:sz w:val="28"/>
                <w:szCs w:val="28"/>
              </w:rPr>
              <w:t>United</w:t>
            </w:r>
            <w:proofErr w:type="spellEnd"/>
          </w:p>
        </w:tc>
      </w:tr>
      <w:tr w:rsidR="003A5C51" w:rsidRPr="00201E87" w14:paraId="4B8AB467" w14:textId="77777777" w:rsidTr="00201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43B36F95" w14:textId="6CBBABF9" w:rsidR="003A5C51" w:rsidRPr="00201E87" w:rsidRDefault="003A5C51" w:rsidP="00201E87">
            <w:pPr>
              <w:jc w:val="center"/>
              <w:rPr>
                <w:sz w:val="28"/>
                <w:szCs w:val="28"/>
              </w:rPr>
            </w:pPr>
            <w:r w:rsidRPr="00201E87">
              <w:rPr>
                <w:sz w:val="28"/>
                <w:szCs w:val="28"/>
              </w:rPr>
              <w:t>Mejores 11</w:t>
            </w:r>
          </w:p>
        </w:tc>
        <w:tc>
          <w:tcPr>
            <w:tcW w:w="2582" w:type="dxa"/>
          </w:tcPr>
          <w:p w14:paraId="55CC7DAC" w14:textId="2BCC10CD" w:rsidR="003A5C51" w:rsidRPr="00201E87" w:rsidRDefault="003A5C51" w:rsidP="00201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201E87">
              <w:rPr>
                <w:b/>
                <w:bCs/>
                <w:sz w:val="28"/>
                <w:szCs w:val="28"/>
              </w:rPr>
              <w:t xml:space="preserve">29.4 </w:t>
            </w:r>
            <w:r w:rsidRPr="00201E87">
              <w:rPr>
                <w:b/>
                <w:bCs/>
                <w:sz w:val="28"/>
                <w:szCs w:val="28"/>
              </w:rPr>
              <w:t>millones</w:t>
            </w:r>
          </w:p>
        </w:tc>
        <w:tc>
          <w:tcPr>
            <w:tcW w:w="2551" w:type="dxa"/>
          </w:tcPr>
          <w:p w14:paraId="20FE0175" w14:textId="6BF7D05D" w:rsidR="003A5C51" w:rsidRPr="00201E87" w:rsidRDefault="003A5C51" w:rsidP="00201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201E87">
              <w:rPr>
                <w:b/>
                <w:bCs/>
                <w:sz w:val="28"/>
                <w:szCs w:val="28"/>
              </w:rPr>
              <w:t xml:space="preserve">42.7 </w:t>
            </w:r>
            <w:r w:rsidRPr="00201E87">
              <w:rPr>
                <w:b/>
                <w:bCs/>
                <w:sz w:val="28"/>
                <w:szCs w:val="28"/>
              </w:rPr>
              <w:t>millones</w:t>
            </w:r>
          </w:p>
        </w:tc>
      </w:tr>
      <w:tr w:rsidR="003A5C51" w:rsidRPr="00201E87" w14:paraId="2EDC19AB" w14:textId="77777777" w:rsidTr="00201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14:paraId="2337B786" w14:textId="36C68693" w:rsidR="003A5C51" w:rsidRPr="00201E87" w:rsidRDefault="003A5C51" w:rsidP="00201E87">
            <w:pPr>
              <w:jc w:val="center"/>
              <w:rPr>
                <w:sz w:val="28"/>
                <w:szCs w:val="28"/>
              </w:rPr>
            </w:pPr>
            <w:r w:rsidRPr="00201E87">
              <w:rPr>
                <w:sz w:val="28"/>
                <w:szCs w:val="28"/>
              </w:rPr>
              <w:t>Peores 11</w:t>
            </w:r>
          </w:p>
        </w:tc>
        <w:tc>
          <w:tcPr>
            <w:tcW w:w="2582" w:type="dxa"/>
          </w:tcPr>
          <w:p w14:paraId="2B885CEF" w14:textId="053CA87B" w:rsidR="003A5C51" w:rsidRPr="00201E87" w:rsidRDefault="003A5C51" w:rsidP="0020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201E87">
              <w:rPr>
                <w:b/>
                <w:bCs/>
                <w:sz w:val="28"/>
                <w:szCs w:val="28"/>
              </w:rPr>
              <w:t xml:space="preserve">7.8 </w:t>
            </w:r>
            <w:r w:rsidRPr="00201E87">
              <w:rPr>
                <w:b/>
                <w:bCs/>
                <w:sz w:val="28"/>
                <w:szCs w:val="28"/>
              </w:rPr>
              <w:t>millones</w:t>
            </w:r>
          </w:p>
        </w:tc>
        <w:tc>
          <w:tcPr>
            <w:tcW w:w="2551" w:type="dxa"/>
          </w:tcPr>
          <w:p w14:paraId="2961FAB7" w14:textId="03183601" w:rsidR="003A5C51" w:rsidRPr="00201E87" w:rsidRDefault="003A5C51" w:rsidP="0020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201E87">
              <w:rPr>
                <w:b/>
                <w:bCs/>
                <w:sz w:val="28"/>
                <w:szCs w:val="28"/>
              </w:rPr>
              <w:t xml:space="preserve">14.5 </w:t>
            </w:r>
            <w:r w:rsidRPr="00201E87">
              <w:rPr>
                <w:b/>
                <w:bCs/>
                <w:sz w:val="28"/>
                <w:szCs w:val="28"/>
              </w:rPr>
              <w:t>millones</w:t>
            </w:r>
          </w:p>
        </w:tc>
      </w:tr>
    </w:tbl>
    <w:p w14:paraId="238E28FF" w14:textId="4AE770F0" w:rsidR="003A5C51" w:rsidRDefault="003A5C51"/>
    <w:p w14:paraId="60CD1A98" w14:textId="77777777" w:rsidR="00201E87" w:rsidRDefault="003A5C51">
      <w:r>
        <w:lastRenderedPageBreak/>
        <w:t xml:space="preserve">Los 11 jugadores con mayor valor del </w:t>
      </w:r>
      <w:r w:rsidR="00792C5C">
        <w:t xml:space="preserve">Leicester City acumulan 69% del valor del </w:t>
      </w:r>
      <w:proofErr w:type="spellStart"/>
      <w:r w:rsidR="00792C5C">
        <w:t>ManU</w:t>
      </w:r>
      <w:proofErr w:type="spellEnd"/>
      <w:r w:rsidR="00792C5C">
        <w:t xml:space="preserve">, pero, si observamos a los peores 11 </w:t>
      </w:r>
      <w:r w:rsidR="00201E87">
        <w:t>(</w:t>
      </w:r>
      <w:r w:rsidR="00792C5C">
        <w:t>quienes, en su mayoría, constituyen a los suplentes de ambos equipos</w:t>
      </w:r>
      <w:r w:rsidR="00201E87">
        <w:t>)</w:t>
      </w:r>
      <w:r w:rsidR="00792C5C">
        <w:t xml:space="preserve">, los suplentes del Leicester acumulan un 53.8% del valor respecto al </w:t>
      </w:r>
      <w:proofErr w:type="spellStart"/>
      <w:r w:rsidR="00792C5C">
        <w:t>ManU</w:t>
      </w:r>
      <w:proofErr w:type="spellEnd"/>
      <w:r w:rsidR="00792C5C">
        <w:t xml:space="preserve">. </w:t>
      </w:r>
    </w:p>
    <w:p w14:paraId="2BE4842D" w14:textId="59C4C541" w:rsidR="003A5C51" w:rsidRDefault="00792C5C">
      <w:r>
        <w:t xml:space="preserve">En mi opinión, ahí radica la principal diferencia entre ambos equipos. Los </w:t>
      </w:r>
      <w:r w:rsidR="00201E87">
        <w:t xml:space="preserve">clubes </w:t>
      </w:r>
      <w:r>
        <w:t xml:space="preserve">ingleses son los que más partidos juegan a lo largo del año y, al regreso de la cuarentena, la densidad de partidos ha estado a tope para intentar cuadrar los calendarios. Al haber más partidos por semana, los equipos tienen que, necesariamente, dar más tiempo de juego a sus reservas, de ahí que los equipos con planteles más amplios (en especial los que juegan torneos europeos), han dominado </w:t>
      </w:r>
      <w:r w:rsidR="00201E87">
        <w:t xml:space="preserve">con mayor diferencia </w:t>
      </w:r>
      <w:r>
        <w:t xml:space="preserve">las ligas europeas. Solo para dar una referencia, en sus últimos </w:t>
      </w:r>
      <w:r w:rsidR="00201E87">
        <w:t xml:space="preserve">8 juegos el Leicester promedió 1.25 puntos por partido, mientras que el </w:t>
      </w:r>
      <w:proofErr w:type="spellStart"/>
      <w:r w:rsidR="00201E87">
        <w:t>ManU</w:t>
      </w:r>
      <w:proofErr w:type="spellEnd"/>
      <w:r w:rsidR="00201E87">
        <w:t xml:space="preserve"> promedió 2.25 (56% más).</w:t>
      </w:r>
    </w:p>
    <w:p w14:paraId="3086B2BB" w14:textId="67D2C2B6" w:rsidR="00201E87" w:rsidRDefault="00201E87">
      <w:r>
        <w:t>Hasta aquí mi aporte.</w:t>
      </w:r>
    </w:p>
    <w:p w14:paraId="1B84A0C7" w14:textId="11866F4E" w:rsidR="00201E87" w:rsidRDefault="00201E87">
      <w:r>
        <w:t>:)</w:t>
      </w:r>
    </w:p>
    <w:sectPr w:rsidR="00201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A0"/>
    <w:rsid w:val="0016064F"/>
    <w:rsid w:val="00201E87"/>
    <w:rsid w:val="002800E6"/>
    <w:rsid w:val="003A5C51"/>
    <w:rsid w:val="00693FA0"/>
    <w:rsid w:val="00792C5C"/>
    <w:rsid w:val="0095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7A27"/>
  <w15:chartTrackingRefBased/>
  <w15:docId w15:val="{B10F9B41-14A7-4556-B6D9-450FFB6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693FA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693F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57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4-nfasis6">
    <w:name w:val="Grid Table 4 Accent 6"/>
    <w:basedOn w:val="Tablanormal"/>
    <w:uiPriority w:val="49"/>
    <w:rsid w:val="00201E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201E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González Meléndez</dc:creator>
  <cp:keywords/>
  <dc:description/>
  <cp:lastModifiedBy>Jaime Eduardo González Meléndez</cp:lastModifiedBy>
  <cp:revision>1</cp:revision>
  <dcterms:created xsi:type="dcterms:W3CDTF">2020-07-25T20:24:00Z</dcterms:created>
  <dcterms:modified xsi:type="dcterms:W3CDTF">2020-07-25T21:41:00Z</dcterms:modified>
</cp:coreProperties>
</file>