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360" w:lineRule="auto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u w:val="single"/>
          <w:rtl w:val="0"/>
        </w:rPr>
        <w:t xml:space="preserve">Documentação PIM - Estrutura de Dados em Python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br w:type="textWrapping"/>
        <w:br w:type="textWrapping"/>
      </w:r>
      <w:r w:rsidDel="00000000" w:rsidR="00000000" w:rsidRPr="00000000">
        <w:rPr>
          <w:sz w:val="24"/>
          <w:szCs w:val="24"/>
          <w:rtl w:val="0"/>
        </w:rPr>
        <w:t xml:space="preserve">As linhas 1 à 08 importam as bibliotecas necessárias para a interface gráfica (customtkinter), manipulação de dados (json) e operações de arquivo (os). Em seguida, definem o tema do aplicativo como "escuro" e a cor padrão como "verde".</w:t>
      </w:r>
    </w:p>
    <w:p w:rsidR="00000000" w:rsidDel="00000000" w:rsidP="00000000" w:rsidRDefault="00000000" w:rsidRPr="00000000" w14:paraId="0000000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267325" cy="1514475"/>
            <wp:effectExtent b="0" l="0" r="0" t="0"/>
            <wp:docPr id="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1514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11 à 16 definem o caminho de salvamento dos arquivos para a pasta “dados”. Após isso, verificam a existência da pasta “dados” e a criam automaticamente se ela não existir.</w:t>
      </w:r>
    </w:p>
    <w:p w:rsidR="00000000" w:rsidDel="00000000" w:rsidP="00000000" w:rsidRDefault="00000000" w:rsidRPr="00000000" w14:paraId="0000000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448175" cy="1123950"/>
            <wp:effectExtent b="0" l="0" r="0" t="0"/>
            <wp:docPr id="7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8175" cy="11239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19 à 29 estabelecem as duas funções de controle do arquivo JSON:</w:t>
      </w:r>
    </w:p>
    <w:p w:rsidR="00000000" w:rsidDel="00000000" w:rsidP="00000000" w:rsidRDefault="00000000" w:rsidRPr="00000000" w14:paraId="0000000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carregar_usuarios(): Abre e lê o arquivo usuarios.json para obter os dados atuais.</w:t>
      </w:r>
    </w:p>
    <w:p w:rsidR="00000000" w:rsidDel="00000000" w:rsidP="00000000" w:rsidRDefault="00000000" w:rsidRPr="00000000" w14:paraId="0000000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381375" cy="1114425"/>
            <wp:effectExtent b="0" l="0" r="0" t="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81375" cy="11144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ind w:left="720" w:hanging="360"/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salvar_usuarios(): Recebe o dicionário de usuários e o grava no arquivo.</w:t>
      </w:r>
    </w:p>
    <w:p w:rsidR="00000000" w:rsidDel="00000000" w:rsidP="00000000" w:rsidRDefault="00000000" w:rsidRPr="00000000" w14:paraId="0000001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24325" cy="7239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24325" cy="72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32 à 39 iniciam a janela de Login, definindo tamanho, cor de fundo e título.</w:t>
      </w:r>
    </w:p>
    <w:p w:rsidR="00000000" w:rsidDel="00000000" w:rsidP="00000000" w:rsidRDefault="00000000" w:rsidRPr="00000000" w14:paraId="0000001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3095625" cy="1533525"/>
            <wp:effectExtent b="0" l="0" r="0" t="0"/>
            <wp:docPr id="5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15335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41 à 52 contêm a função login_usuario(). Esta lógica verifica o e-mail e a senha digitados contra o banco de dados de usuários, informando ao usuário se o login foi bem-sucedido ou se houve erro de credenciais.</w:t>
      </w:r>
    </w:p>
    <w:p w:rsidR="00000000" w:rsidDel="00000000" w:rsidP="00000000" w:rsidRDefault="00000000" w:rsidRPr="00000000" w14:paraId="0000001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2171700"/>
            <wp:effectExtent b="0" l="0" r="0" t="0"/>
            <wp:docPr id="3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17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54 à 57 definem a ação de fechar a tela de Login e abrir a tela de Cadastro.</w:t>
      </w:r>
    </w:p>
    <w:p w:rsidR="00000000" w:rsidDel="00000000" w:rsidP="00000000" w:rsidRDefault="00000000" w:rsidRPr="00000000" w14:paraId="0000001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4152900" cy="752475"/>
            <wp:effectExtent b="0" l="0" r="0" t="0"/>
            <wp:docPr id="8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52900" cy="7524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61 à 84 estruturam a interface gráfica da tela de Login, posicionando o título, os campos de entrada de credenciais (e-mail e senha) e os botões de Login e Cadastrar.</w:t>
        <w:br w:type="textWrapping"/>
      </w:r>
    </w:p>
    <w:p w:rsidR="00000000" w:rsidDel="00000000" w:rsidP="00000000" w:rsidRDefault="00000000" w:rsidRPr="00000000" w14:paraId="00000020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8735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7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87 à 106 configuram a janela de Cadastro e definem as propriedades de sua interface, incluindo o título e os campos para o novo e-mail e nova senha.</w:t>
      </w:r>
    </w:p>
    <w:p w:rsidR="00000000" w:rsidDel="00000000" w:rsidP="00000000" w:rsidRDefault="00000000" w:rsidRPr="00000000" w14:paraId="0000002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4050" cy="2991689"/>
            <wp:effectExtent b="0" l="0" r="0" t="0"/>
            <wp:docPr id="11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9916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108 à 127 contêm a função cadastrar(). Este bloco valida se todos os campos foram preenchidos, checa se o novo e-mail já existe na base de dados e, em caso positivo, adiciona o novo usuário ao dicionário e o salva no arquivo.</w:t>
      </w:r>
    </w:p>
    <w:p w:rsidR="00000000" w:rsidDel="00000000" w:rsidP="00000000" w:rsidRDefault="00000000" w:rsidRPr="00000000" w14:paraId="00000027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731200" cy="3086100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As linhas 129 à 139 adicionam os botões "Cadastrar" (para o salvamento das credenciais do aluno) e "Voltar" (para retornar à tela de Login).</w:t>
      </w:r>
    </w:p>
    <w:p w:rsidR="00000000" w:rsidDel="00000000" w:rsidP="00000000" w:rsidRDefault="00000000" w:rsidRPr="00000000" w14:paraId="0000002C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5991225" cy="1740474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91225" cy="17404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Por fim, a linha 142 é a instrução que inicia o programa, chamando a função </w:t>
      </w:r>
      <w:r w:rsidDel="00000000" w:rsidR="00000000" w:rsidRPr="00000000">
        <w:rPr>
          <w:sz w:val="24"/>
          <w:szCs w:val="24"/>
          <w:rtl w:val="0"/>
        </w:rPr>
        <w:t xml:space="preserve">abrir_login()</w:t>
      </w:r>
      <w:r w:rsidDel="00000000" w:rsidR="00000000" w:rsidRPr="00000000">
        <w:rPr>
          <w:sz w:val="24"/>
          <w:szCs w:val="24"/>
          <w:rtl w:val="0"/>
        </w:rPr>
        <w:t xml:space="preserve"> para exibir a primeira janela.</w:t>
      </w:r>
    </w:p>
    <w:p w:rsidR="00000000" w:rsidDel="00000000" w:rsidP="00000000" w:rsidRDefault="00000000" w:rsidRPr="00000000" w14:paraId="00000030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jc w:val="both"/>
        <w:rPr>
          <w:sz w:val="24"/>
          <w:szCs w:val="24"/>
        </w:rPr>
      </w:pPr>
      <w:r w:rsidDel="00000000" w:rsidR="00000000" w:rsidRPr="00000000">
        <w:rPr>
          <w:sz w:val="24"/>
          <w:szCs w:val="24"/>
        </w:rPr>
        <w:drawing>
          <wp:inline distB="114300" distT="114300" distL="114300" distR="114300">
            <wp:extent cx="1457325" cy="171450"/>
            <wp:effectExtent b="0" l="0" r="0" t="0"/>
            <wp:docPr id="1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714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jc w:val="both"/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133.8582677165355" w:top="1700.7874015748032" w:left="1700.7874015748032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3" Type="http://schemas.openxmlformats.org/officeDocument/2006/relationships/image" Target="media/image4.pn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3.png"/><Relationship Id="rId15" Type="http://schemas.openxmlformats.org/officeDocument/2006/relationships/image" Target="media/image10.png"/><Relationship Id="rId14" Type="http://schemas.openxmlformats.org/officeDocument/2006/relationships/image" Target="media/image11.png"/><Relationship Id="rId17" Type="http://schemas.openxmlformats.org/officeDocument/2006/relationships/image" Target="media/image9.png"/><Relationship Id="rId16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12.png"/><Relationship Id="rId8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