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80"/>
      </w:pPr>
      <w:r>
        <w:rPr>
          <w:rFonts w:ascii="Times New Roman" w:cs="Times New Roman" w:eastAsia="Times New Roman" w:hAnsi="Times New Roman"/>
          <w:b/>
          <w:bCs/>
          <w:sz w:val="30"/>
          <w:szCs w:val="30"/>
        </w:rPr>
        <w:t xml:space="preserve">Capítulo 4: Análisis empírico: percepciones y tensiones entre marcas y Generación Z</w:t>
      </w:r>
    </w:p>
    <w:p>
      <w:pPr>
        <w:spacing w:after="160" w:line="360"/>
        <w:jc w:val="both"/>
      </w:pPr>
      <w:r>
        <w:rPr>
          <w:rFonts w:ascii="Times New Roman" w:cs="Times New Roman" w:eastAsia="Times New Roman" w:hAnsi="Times New Roman"/>
          <w:sz w:val="24"/>
          <w:szCs w:val="24"/>
        </w:rPr>
        <w:t xml:space="preserve">Los capítulos precedentes construyeron el andamiaje conceptual de este Proyecto de Graduación y delimitaron sus variables, regularidades empíricas y referente. El presente capítulo tiene como propósito sistematizar y analizar la evidencia recolectada durante la fase de trabajo de campo. Para ello se detalla, en primer lugar, la estrategia metodológica implementada; a continuación se presentan los resultados obtenidos mediante los tres instrumentos diseñados —ficha de análisis de contenido digital con netnografía integrada, encuesta a usuarios de la Generación Z y entrevista semiestructurada a una informante clave del sector creativo—; y finalmente se construyen los hallazgos a través del cruce de esos datos con el marco teórico de la investigación. Siguiendo el principio de trazabilidad, el capítulo busca que pueda reconstruirse cómo se llegó a los resultados, de modo que la articulación entre evidencia y teoría resulte verificable.</w:t>
      </w:r>
    </w:p>
    <w:p>
      <w:pPr>
        <w:spacing w:after="160" w:line="360"/>
        <w:jc w:val="both"/>
      </w:pPr>
      <w:r>
        <w:rPr>
          <w:rFonts w:ascii="Times New Roman" w:cs="Times New Roman" w:eastAsia="Times New Roman" w:hAnsi="Times New Roman"/>
          <w:sz w:val="24"/>
          <w:szCs w:val="24"/>
        </w:rPr>
        <w:t xml:space="preserve">El capítulo se organiza en cinco apartados. El primero expone el diseño metodológico, la muestra y la justificación de los instrumentos. El segundo presenta los resultados y hallazgos relativos a las percepciones de la Generación Z relevadas mediante la encuesta. El tercero aborda la perspectiva profesional obtenida en la entrevista. El cuarto analiza, a partir del análisis de contenido del referente, las tensiones entre autenticidad, coherencia y adaptación. El quinto integra las tres fuentes en un análisis comparativo que confronta los hallazgos con las regularidades empíricas anticipadas en el Capítulo 3 y con la hipótesis del trabajo. En cada apartado se distingue entre el resultado —el dato descriptivo tal como surge del instrumento— y el hallazgo —ese dato analizado a la luz de la teoría—, de acuerdo con la lógica de la triangulación.</w:t>
      </w:r>
    </w:p>
    <w:p>
      <w:pPr>
        <w:pStyle w:val="Heading2"/>
        <w:spacing w:after="140" w:before="220"/>
      </w:pPr>
      <w:r>
        <w:rPr>
          <w:rFonts w:ascii="Times New Roman" w:cs="Times New Roman" w:eastAsia="Times New Roman" w:hAnsi="Times New Roman"/>
          <w:b/>
          <w:bCs/>
          <w:sz w:val="26"/>
          <w:szCs w:val="26"/>
        </w:rPr>
        <w:t xml:space="preserve">4.1 Diseño metodológico</w:t>
      </w:r>
    </w:p>
    <w:p>
      <w:pPr>
        <w:spacing w:after="160" w:line="360"/>
        <w:jc w:val="both"/>
      </w:pPr>
      <w:r>
        <w:rPr>
          <w:rFonts w:ascii="Times New Roman" w:cs="Times New Roman" w:eastAsia="Times New Roman" w:hAnsi="Times New Roman"/>
          <w:sz w:val="24"/>
          <w:szCs w:val="24"/>
        </w:rPr>
        <w:t xml:space="preserve">El Proyecto de Graduación adopta un enfoque mixto, predominantemente cualitativo con componentes cuantitativos de apoyo, y un alcance correlacional, dado que busca examinar la relación entre el uso del lenguaje de la Generación Z en la comunicación de marca —variable independiente— y la percepción de autenticidad y el riesgo de rechazo por parte de las audiencias jóvenes —variable dependiente—, en el ecosistema de TikTok e Instagram durante el período 2023-2025 —variable contextual—. Como sostiene Sautu (2005), la validez de un diseño depende de la correspondencia entre los objetivos, las variables operacionalizadas y los instrumentos; en función de ello se seleccionaron tres técnicas, cada una orientada a objetivos específicos del trabajo.</w:t>
      </w:r>
    </w:p>
    <w:p>
      <w:pPr>
        <w:spacing w:after="160" w:line="360"/>
        <w:jc w:val="both"/>
      </w:pPr>
      <w:r>
        <w:rPr>
          <w:rFonts w:ascii="Times New Roman" w:cs="Times New Roman" w:eastAsia="Times New Roman" w:hAnsi="Times New Roman"/>
          <w:sz w:val="24"/>
          <w:szCs w:val="24"/>
        </w:rPr>
        <w:t xml:space="preserve">La elección del alcance correlacional merece una justificación adicional, dado que condiciona el diseño completo del trabajo de campo. El proyecto no se propone establecer relaciones causales —pretensión que exigiría un diseño experimental ajeno a sus objetivos—, sino examinar cómo se relacionan ambas variables en contextos reales de comunicación y bajo qué condiciones esa relación adopta un signo positivo o negativo. Esta decisión tiene consecuencias directas sobre los instrumentos: ninguno busca aislar el efecto del lenguaje, sino registrar la relación entre sus formas de uso —operacionalizadas en el Capítulo 3 como tono y registro, apropiación de códigos y coherencia identitaria— y las respuestas observables de la audiencia. En términos de Sautu (2005), la coherencia del diseño reside en que cada técnica fue construida a partir de los indicadores definidos en la operacionalización, de modo que los datos recolectados resulten directamente interpretables en función de las variables.</w:t>
      </w:r>
    </w:p>
    <w:p>
      <w:pPr>
        <w:spacing w:after="160" w:line="360"/>
        <w:jc w:val="both"/>
      </w:pPr>
      <w:r>
        <w:rPr>
          <w:rFonts w:ascii="Times New Roman" w:cs="Times New Roman" w:eastAsia="Times New Roman" w:hAnsi="Times New Roman"/>
          <w:sz w:val="24"/>
          <w:szCs w:val="24"/>
        </w:rPr>
        <w:t xml:space="preserve">El primer instrumento es una ficha de análisis de contenido digital con netnografía integrada (Ver Ficha de Análisis de Contenido, Cuerpo C). Su pertinencia responde al primer objetivo específico —identificar los principales rasgos del lenguaje de la Generación Z en plataformas digitales— y al quinto —estudiar el caso de Duolingo como referente de una apropiación efectiva—, ya que permite observar de manera directa, sobre piezas reales, cómo se manifiestan la jerga generacional, los emojis, los memes y los formatos virales, y qué reacción generan en la audiencia. La técnica combina el análisis de contenido sistemático con la observación netnográfica de los comentarios y las dinámicas de circulación. Se relevaron seis piezas del referente empírico: tres publicadas en TikTok y tres en Instagram, en un arco temporal que va de octubre de 2021 a abril de 2026, seleccionadas por su alcance y por la diversidad de recursos y formatos —video, carrusel y reel— que permiten observar.</w:t>
      </w:r>
    </w:p>
    <w:p>
      <w:pPr>
        <w:spacing w:after="160" w:line="360"/>
        <w:jc w:val="both"/>
      </w:pPr>
      <w:r>
        <w:rPr>
          <w:rFonts w:ascii="Times New Roman" w:cs="Times New Roman" w:eastAsia="Times New Roman" w:hAnsi="Times New Roman"/>
          <w:sz w:val="24"/>
          <w:szCs w:val="24"/>
        </w:rPr>
        <w:t xml:space="preserve">El segundo instrumento es una encuesta autoadministrada, distribuida de manera digital (Ver Cuestionario de Encuesta, Cuerpo C). Su pertinencia responde al tercer objetivo específico —examinar la relación entre autenticidad percibida, uso del lenguaje generacional y riesgo de rechazo— y al cuarto —relevar la percepción sobre casos efectivos y forzados—, ya que permite cuantificar tendencias en las percepciones de la audiencia. La muestra es no probabilística por conveniencia y quedó conformada por ciento dos respuestas válidas. En cuanto a su composición, la totalidad de los participantes pertenece a la Generación Z: el 75% nació entre 2001 y 2004, el 17% entre 2005 y 2009 y el 8% entre 1997 y 2000. Respecto de la ocupación, el 47% son estudiantes universitarios y el 40% estudia y trabaja simultáneamente, mientras que un 13% son profesionales, de los cuales el 6% pertenece al campo de la publicidad, el marketing o la comunicación. En relación con las plataformas de uso habitual, el 93% utiliza Instagram y el 76% TikTok, seguidas por YouTube (67%), X/Twitter (45%) y LinkedIn (35%), distribución que confirma la pertinencia del recorte de plataformas definido como variable contextual.</w:t>
      </w:r>
    </w:p>
    <w:p>
      <w:pPr>
        <w:spacing w:after="160" w:line="360"/>
        <w:jc w:val="both"/>
      </w:pPr>
      <w:r>
        <w:rPr>
          <w:rFonts w:ascii="Times New Roman" w:cs="Times New Roman" w:eastAsia="Times New Roman" w:hAnsi="Times New Roman"/>
          <w:sz w:val="24"/>
          <w:szCs w:val="24"/>
        </w:rPr>
        <w:t xml:space="preserve">El tercer instrumento es una entrevista semiestructurada a una informante clave del sector creativo (Ver Entrevista, Cuerpo C). Su pertinencia responde al segundo objetivo específico —analizar cómo las marcas adaptan su tono y sus códigos comunicacionales— y al quinto, ya que aporta la dimensión estratégica detrás de las decisiones comunicacionales. La entrevistada es Sofía Fernández, directora de arte junior de la Agencia Almacén (Buenos Aires), de veintitrés años, con experiencia previa en las agencias HOY BUE y Havas. Su selección obedece a un doble criterio de pertinencia: su rol profesional en la toma de decisiones de tono y estética para audiencias jóvenes y su pertenencia a la propia Generación Z, condición que le otorga una perspectiva situada sobre el fenómeno. La entrevista se estructuró en cuatro ejes y se apoyó en la exhibición de piezas del referente para estimular el análisis sobre material concreto.</w:t>
      </w:r>
    </w:p>
    <w:p>
      <w:pPr>
        <w:spacing w:after="160" w:line="360"/>
        <w:jc w:val="both"/>
      </w:pPr>
      <w:r>
        <w:rPr>
          <w:rFonts w:ascii="Times New Roman" w:cs="Times New Roman" w:eastAsia="Times New Roman" w:hAnsi="Times New Roman"/>
          <w:sz w:val="24"/>
          <w:szCs w:val="24"/>
        </w:rPr>
        <w:t xml:space="preserve">La complementariedad de los tres instrumentos puede precisarse en función de las variables operacionalizadas. La ficha de análisis de contenido releva de manera directa las tres dimensiones de la variable independiente —el tono y registro lingüístico, la apropiación de formatos y códigos culturales y la coherencia identitaria—, mientras que su componente netnográfico capta indicadores de la variable dependiente, en particular la calidad del engagement y la naturaleza de las interacciones. La encuesta, por su parte, accede a las dimensiones de la variable dependiente que no resultan observables en las piezas: la autenticidad percibida, el riesgo de rechazo y la legitimidad cultural, declaradas por los propios integrantes de la generación. La entrevista, finalmente, incorpora la dimensión de la producción, que ninguna de las otras técnicas alcanza: los criterios, las restricciones y las negociaciones que anteceden a la publicación de cada pieza. La superposición parcial entre los tres es la que habilita la triangulación, entendida no como suma de datos sino como contraste entre perspectivas independientes sobre un mismo objeto.</w:t>
      </w:r>
    </w:p>
    <w:p>
      <w:pPr>
        <w:spacing w:after="160" w:line="360"/>
        <w:jc w:val="both"/>
      </w:pPr>
      <w:r>
        <w:rPr>
          <w:rFonts w:ascii="Times New Roman" w:cs="Times New Roman" w:eastAsia="Times New Roman" w:hAnsi="Times New Roman"/>
          <w:sz w:val="24"/>
          <w:szCs w:val="24"/>
        </w:rPr>
        <w:t xml:space="preserve">En cuanto a la calendarización, el trabajo de campo se desarrolló durante el primer semestre de 2026: la encuesta permaneció abierta entre abril y mayo de ese año, la entrevista se realizó en el mismo período y el análisis de contenido se aplicó sobre piezas publicadas entre 2021 y 2026, relevadas en su estado al momento del análisis. La triangulación de los tres instrumentos permite contrastar la dimensión de la pieza, la de la recepción y la de la producción. Cabe explicitar las limitaciones del diseño: la muestra de la encuesta no es estadísticamente representativa, por lo que sus resultados son indicativos de tendencias y no generalizables; el análisis de contenido se concentra en un único referente, elegido por su valor paradigmático; y la entrevista, al tratarse de una única informante clave, aporta profundidad cualitativa antes que representatividad sectorial. Estas limitaciones son coherentes con un diseño de alcance correlacional y orientación cualitativa.</w:t>
      </w:r>
    </w:p>
    <w:p>
      <w:pPr>
        <w:pStyle w:val="Heading2"/>
        <w:spacing w:after="140" w:before="220"/>
      </w:pPr>
      <w:r>
        <w:rPr>
          <w:rFonts w:ascii="Times New Roman" w:cs="Times New Roman" w:eastAsia="Times New Roman" w:hAnsi="Times New Roman"/>
          <w:b/>
          <w:bCs/>
          <w:sz w:val="26"/>
          <w:szCs w:val="26"/>
        </w:rPr>
        <w:t xml:space="preserve">4.2 Percepciones de la Generación Z sobre la comunicación de marca</w:t>
      </w:r>
    </w:p>
    <w:p>
      <w:pPr>
        <w:pStyle w:val="Heading3"/>
        <w:spacing w:after="120" w:before="160"/>
      </w:pPr>
      <w:r>
        <w:rPr>
          <w:rFonts w:ascii="Times New Roman" w:cs="Times New Roman" w:eastAsia="Times New Roman" w:hAnsi="Times New Roman"/>
          <w:b/>
          <w:bCs/>
          <w:i/>
          <w:iCs/>
          <w:sz w:val="24"/>
          <w:szCs w:val="24"/>
        </w:rPr>
        <w:t xml:space="preserve">Resultados</w:t>
      </w:r>
    </w:p>
    <w:p>
      <w:pPr>
        <w:spacing w:after="160" w:line="360"/>
        <w:jc w:val="both"/>
      </w:pPr>
      <w:r>
        <w:rPr>
          <w:rFonts w:ascii="Times New Roman" w:cs="Times New Roman" w:eastAsia="Times New Roman" w:hAnsi="Times New Roman"/>
          <w:sz w:val="24"/>
          <w:szCs w:val="24"/>
        </w:rPr>
        <w:t xml:space="preserve">Los datos obtenidos mediante la encuesta (Ver Cuestionario de Encuesta, Cuerpo C) permiten describir las percepciones de la audiencia. En primer lugar, el 82% de los encuestados declaró seguir cuentas de marcas en redes sociales —el 52% a varias y el 30% a alguna que otra—, lo que confirma que la relación con marcas en estos entornos es una práctica extendida en la muestra. En segundo lugar, ante la pregunta sobre si identifican cuándo una marca intenta usar el lenguaje típico de la Generación Z, el 58% respondió que lo identifica siempre y el 36% que lo hace la mayoría de las veces, mientras que solo el 6% lo detecta de manera intermitente. Es decir, el 94% reconoce ese intento de manera sistemática.</w:t>
      </w:r>
    </w:p>
    <w:p>
      <w:pPr>
        <w:spacing w:after="160" w:line="360"/>
        <w:jc w:val="both"/>
      </w:pPr>
      <w:r>
        <w:rPr>
          <w:rFonts w:ascii="Times New Roman" w:cs="Times New Roman" w:eastAsia="Times New Roman" w:hAnsi="Times New Roman"/>
          <w:sz w:val="24"/>
          <w:szCs w:val="24"/>
        </w:rPr>
        <w:t xml:space="preserve">Respecto de la valoración de ese uso, el 71% eligió la opción que indica que su apreciación depende de cómo lo haga la marca, y que si lo hace bien, le gusta; el 19% afirmó que ese uso le resulta forzado o artificial en la mayoría de los casos; el 7% lo percibe como auténtico y generador de cercanía; el 3% manifestó indiferencia y el 1% rechazo. En cuanto a los factores asociados a la autenticidad —pregunta de selección múltiple con tope de tres opciones—, la respuesta más elegida, con amplia diferencia, fue que la marca use el lenguaje de manera natural y sin forzarlo, seleccionada por el 70% de los encuestados; le siguieron, entre las más mencionadas, que la marca responda a comentarios y participe en conversaciones, que no intente vender algo todo el tiempo, que mantenga coherencia con sus valores y su identidad, que el contenido sea creado por usuarios reales y que tenga humor sin tomarse demasiado en serio.</w:t>
      </w:r>
    </w:p>
    <w:p>
      <w:pPr>
        <w:spacing w:after="160" w:line="360"/>
        <w:jc w:val="both"/>
      </w:pPr>
      <w:r>
        <w:rPr>
          <w:rFonts w:ascii="Times New Roman" w:cs="Times New Roman" w:eastAsia="Times New Roman" w:hAnsi="Times New Roman"/>
          <w:sz w:val="24"/>
          <w:szCs w:val="24"/>
        </w:rPr>
        <w:t xml:space="preserve">En relación con las consecuencias conductuales, una proporción cercana a la mitad de los encuestados afirmó haber dejado de seguir o de consumir el contenido de una marca por considerar su comunicación forzada o ridícula, y un grupo adicional señaló no haberlo hecho pero haberlo considerado. Consultados sobre el peso que tiene la forma en que una marca se comunica en la decisión de consumirla o recomendarla, en una escala de uno a cinco, las respuestas arrojaron un promedio de 3,62: el 22% asignó el valor máximo de 5, el 35% el valor 4 y el 30% el valor 3, de modo que el 57% se concentró en los dos valores más altos y solo el 13% en los dos más bajos.</w:t>
      </w:r>
    </w:p>
    <w:p>
      <w:pPr>
        <w:spacing w:after="160" w:line="360"/>
        <w:jc w:val="both"/>
      </w:pPr>
      <w:r>
        <w:rPr>
          <w:rFonts w:ascii="Times New Roman" w:cs="Times New Roman" w:eastAsia="Times New Roman" w:hAnsi="Times New Roman"/>
          <w:sz w:val="24"/>
          <w:szCs w:val="24"/>
        </w:rPr>
        <w:t xml:space="preserve">Un bloque específico indagó sobre los usos fallidos. La mayoría de los encuestados afirmó conocer o recordar un caso de una marca que intentó hablar como la Generación Z con un resultado forzado, ridículo o fuera de contexto. Al describir los errores cometidos, las opciones más seleccionadas fueron que la marca usó el lenguaje fuera de contexto o sin entenderlo, que recurrió a memes o expresiones que ya eran viejas, que el tono no tenía relación con la identidad de la marca, que lo mezcló con un mensaje comercial demasiado obvio, que sobreexplicó el chiste o la referencia y que intentó participar de una tendencia sin agregar nada nuevo. Respecto de la reacción frente a esos errores, la respuesta más frecuente fue ignorar el contenido y seguir navegando, seguida por la afirmación de que el error afecta negativamente la percepción de la marca aunque no se realice ninguna acción visible; en menor medida aparecieron las respuestas de reírse del contenido y compartirlo con amistades y de dejar de seguir a la marca. Finalmente, las preguntas abiertas opcionales recogieron formulaciones recurrentes, entre ellas que el problema es que las marcas copian sin entender el contexto cultural, que muchos prefieren que las marcas sean ellas mismas antes que intentar hablar como ellos, y que el uso del propio lenguaje con fines comerciales genera desconfianza.</w:t>
      </w:r>
    </w:p>
    <w:p>
      <w:pPr>
        <w:pStyle w:val="Heading3"/>
        <w:spacing w:after="120" w:before="160"/>
      </w:pPr>
      <w:r>
        <w:rPr>
          <w:rFonts w:ascii="Times New Roman" w:cs="Times New Roman" w:eastAsia="Times New Roman" w:hAnsi="Times New Roman"/>
          <w:b/>
          <w:bCs/>
          <w:i/>
          <w:iCs/>
          <w:sz w:val="24"/>
          <w:szCs w:val="24"/>
        </w:rPr>
        <w:t xml:space="preserve">Hallazgos</w:t>
      </w:r>
    </w:p>
    <w:p>
      <w:pPr>
        <w:spacing w:after="160" w:line="360"/>
        <w:jc w:val="both"/>
      </w:pPr>
      <w:r>
        <w:rPr>
          <w:rFonts w:ascii="Times New Roman" w:cs="Times New Roman" w:eastAsia="Times New Roman" w:hAnsi="Times New Roman"/>
          <w:sz w:val="24"/>
          <w:szCs w:val="24"/>
        </w:rPr>
        <w:t xml:space="preserve">El primer hallazgo se desprende de la altísima capacidad de detección registrada: el 94% de los encuestados reconoce sistemáticamente el intento de las marcas de usar su lenguaje. Este dato se vincula directamente con la competencia crítica que Twenge (2017) atribuye a la Generación Z y con la noción de hiperreferencialidad desarrollada en el Capítulo 2, según la cual el lenguaje generacional opera sobre referencias que requieren conocimiento previo específico. La evidencia confirma que ese sistema referencial funciona, para la audiencia, como un mecanismo de detección: la comunidad advierte de inmediato cuándo un actor externo domina sus códigos y cuándo no, lo que coincide con lo planteado por Marwick (2013) respecto del conocimiento cultural como capital simbólico que distingue a los participantes legítimos de los impostores.</w:t>
      </w:r>
    </w:p>
    <w:p>
      <w:pPr>
        <w:spacing w:after="160" w:line="360"/>
        <w:jc w:val="both"/>
      </w:pPr>
      <w:r>
        <w:rPr>
          <w:rFonts w:ascii="Times New Roman" w:cs="Times New Roman" w:eastAsia="Times New Roman" w:hAnsi="Times New Roman"/>
          <w:sz w:val="24"/>
          <w:szCs w:val="24"/>
        </w:rPr>
        <w:t xml:space="preserve">Este hallazgo admite una lectura adicional en términos de las condiciones de circulación del lenguaje descriptas en el Capítulo 2. Si, como sostiene Crystal (2008), la comunicación digital opera mediante mecanismos de condensación que descansan en el conocimiento compartido entre emisor y receptor, entonces toda pieza de marca que utilice esos códigos queda sometida a una evaluación tácita de competencia: la audiencia verifica, en el mismo acto de recepción, si quien habla domina el sistema de referencias que pretende usar. De ello se desprende una implicancia central para el resto del análisis: la detección precede a la valoración. La cuestión decisiva no es si las marcas pueden pasar inadvertidas en su apropiación del lenguaje —no pueden—, sino qué evaluación reciben una vez detectadas.</w:t>
      </w:r>
    </w:p>
    <w:p>
      <w:pPr>
        <w:spacing w:after="160" w:line="360"/>
        <w:jc w:val="both"/>
      </w:pPr>
      <w:r>
        <w:rPr>
          <w:rFonts w:ascii="Times New Roman" w:cs="Times New Roman" w:eastAsia="Times New Roman" w:hAnsi="Times New Roman"/>
          <w:sz w:val="24"/>
          <w:szCs w:val="24"/>
        </w:rPr>
        <w:t xml:space="preserve">Un segundo hallazgo emerge del cruce entre la valoración condicional —el 71% afirma que depende de cómo lo haga la marca— y la jerarquía de factores de autenticidad, encabezada por la naturalidad (70%) y reforzada por la coherencia con la identidad. Estos datos no contradicen la disposición de la audiencia a que las marcas hablen su lenguaje, sino que la condicionan a la calidad de la ejecución. Esta evidencia refuerza el concepto de autenticidad como coherencia de Banet-Weiser (2012): para esta audiencia, la autenticidad no es un atributo del tono informal en sí mismo, sino el resultado de la consistencia entre lo que la marca dice, lo que representa y la manera en que se comunica. Se confirma así que el problema no reside en que una marca participe de los códigos generacionales, sino en el modo y la legitimidad con que lo hace.</w:t>
      </w:r>
    </w:p>
    <w:p>
      <w:pPr>
        <w:spacing w:after="160" w:line="360"/>
        <w:jc w:val="both"/>
      </w:pPr>
      <w:r>
        <w:rPr>
          <w:rFonts w:ascii="Times New Roman" w:cs="Times New Roman" w:eastAsia="Times New Roman" w:hAnsi="Times New Roman"/>
          <w:sz w:val="24"/>
          <w:szCs w:val="24"/>
        </w:rPr>
        <w:t xml:space="preserve">Un tercer hallazgo surge de la correspondencia entre los errores señalados por la audiencia y los patrones de cringe marketing tipificados en el Capítulo 3. El uso fuera de contexto, el recurso a memes desactualizados, la incongruencia identitaria, la mezcla comercial obvia y la sobreexplicación —las opciones más elegidas— reproducen con exactitud la tipología elaborada a partir de Paasonen (2015) y Anderson y Rainie (2017). Esta coincidencia indica que la categorización teórica del cringe tiene correlato directo en la experiencia de la audiencia. No obstante, el dato sobre la reacción introduce un matiz: dado que la respuesta más frecuente es el retiro silencioso de la atención antes que la acción visible, el rechazo opera, en la mayoría de los casos, como un deterioro no manifiesto de la percepción. La viralización irónica —presente en la franja que se ríe y comparte— constituye la expresión más visible y costosa de ese rechazo, pero no la más habitual, lo que precisa la formulación teórica sin contradecirla.</w:t>
      </w:r>
    </w:p>
    <w:p>
      <w:pPr>
        <w:spacing w:after="160" w:line="360"/>
        <w:jc w:val="both"/>
      </w:pPr>
      <w:r>
        <w:rPr>
          <w:rFonts w:ascii="Times New Roman" w:cs="Times New Roman" w:eastAsia="Times New Roman" w:hAnsi="Times New Roman"/>
          <w:sz w:val="24"/>
          <w:szCs w:val="24"/>
        </w:rPr>
        <w:t xml:space="preserve">La correspondencia entre ambos planos puede sistematizarse término a término. El uso del lenguaje fuera de contexto o sin entenderlo remite a la apropiación sin comprensión; el recurso a memes desactualizados, al uso tardío de tendencias; la falta de relación entre el tono y la identidad de la marca, a la incongruencia identitaria; la sobreexplicación, a la destrucción de la lógica de síntesis que, según Crystal (2008), sostiene la comunicación digital; y la mezcla con un mensaje comercial demasiado obvio, al uso instrumental de un sistema de significados ajeno que Fairclough (2003) permite caracterizar como explotación. Que las categorías construidas deductivamente desde la teoría coincidan con las que la audiencia selecciona de manera espontánea constituye un indicador de validez de la operacionalización realizada en el Capítulo 3. El matiz del retiro silencioso, por su parte, precisa el alcance de la advertencia de Anderson y Rainie (2017) sobre la amplificación de los errores: la viralización irónica existe y es la manifestación más costosa del rechazo, pero representa su expresión extrema y no su forma habitual. La mayor parte del daño ocurre sin dejar rastros visibles, en forma de atención retirada y percepción deteriorada.</w:t>
      </w:r>
    </w:p>
    <w:p>
      <w:pPr>
        <w:spacing w:after="160" w:line="360"/>
        <w:jc w:val="both"/>
      </w:pPr>
      <w:r>
        <w:rPr>
          <w:rFonts w:ascii="Times New Roman" w:cs="Times New Roman" w:eastAsia="Times New Roman" w:hAnsi="Times New Roman"/>
          <w:sz w:val="24"/>
          <w:szCs w:val="24"/>
        </w:rPr>
        <w:t xml:space="preserve">Finalmente, las respuestas abiertas aportan un hallazgo decisivo para el tercer objetivo del trabajo: los encuestados no solo distinguen de manera intuitiva la participación genuina de la apropiación oportunista, sino que articulan criterios explícitos para fundamentarla, como la comprensión del contexto cultural y la desconfianza frente al uso instrumental del lenguaje con fines comerciales. Esta capacidad de explicitar criterios confirma, en el plano de la recepción, la dimensión ideológica del lenguaje que Fairclough (2003) atribuye a toda práctica discursiva, y aporta evidencia directa a la tercera regularidad empírica anticipada en el Capítulo 3.</w:t>
      </w:r>
    </w:p>
    <w:p>
      <w:pPr>
        <w:spacing w:after="160" w:line="360"/>
        <w:jc w:val="both"/>
      </w:pPr>
      <w:r>
        <w:rPr>
          <w:rFonts w:ascii="Times New Roman" w:cs="Times New Roman" w:eastAsia="Times New Roman" w:hAnsi="Times New Roman"/>
          <w:sz w:val="24"/>
          <w:szCs w:val="24"/>
        </w:rPr>
        <w:t xml:space="preserve">Esta evidencia puede leerse, además, en los términos en que Castells (2015) describe la redistribución del poder comunicacional: la capacidad de definir qué usos del lenguaje son legítimos no reside en las marcas que lo adoptan, sino en la comunidad que lo produjo. Las respuestas abiertas muestran esa potestad en ejercicio: los encuestados no se limitan a reaccionar, sino que formulan las condiciones bajo las cuales una marca puede participar de su cultura.</w:t>
      </w:r>
    </w:p>
    <w:p>
      <w:pPr>
        <w:pStyle w:val="Heading2"/>
        <w:spacing w:after="140" w:before="220"/>
      </w:pPr>
      <w:r>
        <w:rPr>
          <w:rFonts w:ascii="Times New Roman" w:cs="Times New Roman" w:eastAsia="Times New Roman" w:hAnsi="Times New Roman"/>
          <w:b/>
          <w:bCs/>
          <w:sz w:val="26"/>
          <w:szCs w:val="26"/>
        </w:rPr>
        <w:t xml:space="preserve">4.3 Perspectiva de profesionales de la comunicación publicitaria</w:t>
      </w:r>
    </w:p>
    <w:p>
      <w:pPr>
        <w:pStyle w:val="Heading3"/>
        <w:spacing w:after="120" w:before="160"/>
      </w:pPr>
      <w:r>
        <w:rPr>
          <w:rFonts w:ascii="Times New Roman" w:cs="Times New Roman" w:eastAsia="Times New Roman" w:hAnsi="Times New Roman"/>
          <w:b/>
          <w:bCs/>
          <w:i/>
          <w:iCs/>
          <w:sz w:val="24"/>
          <w:szCs w:val="24"/>
        </w:rPr>
        <w:t xml:space="preserve">Resultados</w:t>
      </w:r>
    </w:p>
    <w:p>
      <w:pPr>
        <w:spacing w:after="160" w:line="360"/>
        <w:jc w:val="both"/>
      </w:pPr>
      <w:r>
        <w:rPr>
          <w:rFonts w:ascii="Times New Roman" w:cs="Times New Roman" w:eastAsia="Times New Roman" w:hAnsi="Times New Roman"/>
          <w:sz w:val="24"/>
          <w:szCs w:val="24"/>
        </w:rPr>
        <w:t xml:space="preserve">La entrevista a Sofía Fernández (comunicación personal, 2026; Ver Entrevista, Cuerpo C) aporta los datos relativos a la lógica profesional que opera dentro de las agencias. La entrevistada señaló que el lenguaje generacional se ha vuelto una variable explícita en los encargos: mientras que años atrás la demanda de un tono cercano a la Generación Z era implícita, en la actualidad los clientes llegan con referencias concretas de TikTok y lo solicitan de manera directa. Indicó, sin embargo, que esa demanda genera ruido porque, según sus palabras, mucha gente lo pide sin entender bien qué está pidiendo.</w:t>
      </w:r>
    </w:p>
    <w:p>
      <w:pPr>
        <w:spacing w:after="160" w:line="360"/>
        <w:jc w:val="both"/>
      </w:pPr>
      <w:r>
        <w:rPr>
          <w:rFonts w:ascii="Times New Roman" w:cs="Times New Roman" w:eastAsia="Times New Roman" w:hAnsi="Times New Roman"/>
          <w:sz w:val="24"/>
          <w:szCs w:val="24"/>
        </w:rPr>
        <w:t xml:space="preserve">Respecto del proceso de decisión, describió un criterio previo a cualquier consideración de ejecución: determinar si la marca tiene algo genuino para ofrecer en la conversación o si solo quiere subirse a algo porque lo vio viral, pregunta que, afirmó, separa los proyectos buenos de los que terminan mal. Desde su rol vinculado a la imagen, identificó la coherencia visual como primer filtro: cuando la estética propuesta no tiene relación con la identidad de fondo de la marca, la audiencia lo lee de inmediato como un disfraz. Sobre los ritmos de producción, contrastó la lentitud de una red global como Havas —donde la aprobación podía demorar semanas— con la mayor agilidad de una agencia pequeña, y sostuvo que la velocidad no es solo un problema técnico sino de confianza, ya que el humor de TikTok tiene una vida útil de horas, no de semanas. Por último, formuló la distinción entre participar de una cultura —aportar un punto de vista propio— y usarla —copiar la forma sin entender el fondo—, planteó un límite ético frente a las marcas cuyas prácticas contradicen los valores que dicen adoptar, y anticipó una dinámica de saturación creciente, sintetizada en la afirmación de que el lenguaje sin relación es solo ruido.</w:t>
      </w:r>
    </w:p>
    <w:p>
      <w:pPr>
        <w:pStyle w:val="Heading3"/>
        <w:spacing w:after="120" w:before="160"/>
      </w:pPr>
      <w:r>
        <w:rPr>
          <w:rFonts w:ascii="Times New Roman" w:cs="Times New Roman" w:eastAsia="Times New Roman" w:hAnsi="Times New Roman"/>
          <w:b/>
          <w:bCs/>
          <w:i/>
          <w:iCs/>
          <w:sz w:val="24"/>
          <w:szCs w:val="24"/>
        </w:rPr>
        <w:t xml:space="preserve">Hallazgos</w:t>
      </w:r>
    </w:p>
    <w:p>
      <w:pPr>
        <w:spacing w:after="160" w:line="360"/>
        <w:jc w:val="both"/>
      </w:pPr>
      <w:r>
        <w:rPr>
          <w:rFonts w:ascii="Times New Roman" w:cs="Times New Roman" w:eastAsia="Times New Roman" w:hAnsi="Times New Roman"/>
          <w:sz w:val="24"/>
          <w:szCs w:val="24"/>
        </w:rPr>
        <w:t xml:space="preserve">El primer hallazgo del análisis de la entrevista es que la coherencia identitaria, operacionalizada en el Capítulo 3 como dimensión de la variable independiente, opera también en la práctica profesional como criterio rector. La metáfora del disfraz empleada por la entrevistada para describir la incongruencia entre la estética adoptada y la identidad de fondo coincide con la noción de que la autenticidad no puede fingirse a nivel de superficie, y converge con el factor de autenticidad más valorado por la audiencia en la encuesta. Esto significa que producción y recepción comparten el mismo criterio central: la coherencia.</w:t>
      </w:r>
    </w:p>
    <w:p>
      <w:pPr>
        <w:spacing w:after="160" w:line="360"/>
        <w:jc w:val="both"/>
      </w:pPr>
      <w:r>
        <w:rPr>
          <w:rFonts w:ascii="Times New Roman" w:cs="Times New Roman" w:eastAsia="Times New Roman" w:hAnsi="Times New Roman"/>
          <w:sz w:val="24"/>
          <w:szCs w:val="24"/>
        </w:rPr>
        <w:t xml:space="preserve">Esta convergencia entre producción y recepción posee un valor metodológico específico: dos fuentes independientes, relevadas con instrumentos distintos, identifican el mismo criterio como decisivo. En términos de Marwick (2013), puede decirse que la profesional describe desde adentro el mecanismo que la audiencia aplica desde afuera: la credibilidad se construye mediante la demostración de conocimiento cultural pertinente, y la incongruencia entre la estética y la identidad es precisamente la evidencia de que ese conocimiento falta. El disfraz, en este sentido, no fracasa por su calidad técnica sino por su condición de disfraz: presupone una identidad que se oculta, y es esa duplicidad —no la informalidad del registro— lo que la audiencia sanciona.</w:t>
      </w:r>
    </w:p>
    <w:p>
      <w:pPr>
        <w:spacing w:after="160" w:line="360"/>
        <w:jc w:val="both"/>
      </w:pPr>
      <w:r>
        <w:rPr>
          <w:rFonts w:ascii="Times New Roman" w:cs="Times New Roman" w:eastAsia="Times New Roman" w:hAnsi="Times New Roman"/>
          <w:sz w:val="24"/>
          <w:szCs w:val="24"/>
        </w:rPr>
        <w:t xml:space="preserve">Un segundo hallazgo, de particular valor explicativo, es la identificación de la causa estructural del uso tardío de tendencias. La afirmación de que la velocidad es un problema de confianza —cuando el cliente exige aprobar cada pieza, se eliminan los tiempos compatibles con las plataformas— permite comprender que el desfasaje temporal que produce el cringe no es un error individual de criterio, sino una consecuencia de las dinámicas organizacionales de aprobación y control. Este hallazgo articula el dato de campo con el análisis del Capítulo 3 sobre la incompatibilidad entre los ciclos de producción de las marcas y la velocidad de renovación de los códigos descripta por Crystal (2008).</w:t>
      </w:r>
    </w:p>
    <w:p>
      <w:pPr>
        <w:spacing w:after="160" w:line="360"/>
        <w:jc w:val="both"/>
      </w:pPr>
      <w:r>
        <w:rPr>
          <w:rFonts w:ascii="Times New Roman" w:cs="Times New Roman" w:eastAsia="Times New Roman" w:hAnsi="Times New Roman"/>
          <w:sz w:val="24"/>
          <w:szCs w:val="24"/>
        </w:rPr>
        <w:t xml:space="preserve">Un tercer hallazgo se desprende de la distinción entre participar y usar, que reproduce con precisión la oposición entre participación legítima y explotación oportunista desarrollada teóricamente a partir de los límites de la apropiación cultural. Que esta distinción sea formulada espontáneamente por una integrante de la propia generación, desde su rol profesional, refuerza la validez de la categoría. A ello se suma la dimensión ética planteada por la entrevistada, que coincide con lo anticipado a partir de los antecedentes de Bagnati (2025) y Scarpello (2025): la adopción del lenguaje generacional por parte de una marca cuyas prácticas contradicen los valores de la generación constituye una forma de performatividad vacía que la audiencia sanciona. La perspectiva profesional confirma, así, que la autenticidad no puede disociarse de la coherencia estructural entre el discurso y la práctica.</w:t>
      </w:r>
    </w:p>
    <w:p>
      <w:pPr>
        <w:spacing w:after="160" w:line="360"/>
        <w:jc w:val="both"/>
      </w:pPr>
      <w:r>
        <w:rPr>
          <w:rFonts w:ascii="Times New Roman" w:cs="Times New Roman" w:eastAsia="Times New Roman" w:hAnsi="Times New Roman"/>
          <w:sz w:val="24"/>
          <w:szCs w:val="24"/>
        </w:rPr>
        <w:t xml:space="preserve">A su vez, la anticipación de una dinámica de saturación creciente formulada por la entrevistada puede vincularse con la vida social de los códigos digitales descripta por Shifman (2014): en la medida en que más marcas replican las mismas fórmulas, el recurso pierde su capacidad de señalar pertenencia y pasa a señalar imitación, lo que erosiona su rendimiento incluso en ejecuciones técnicamente correctas. La observación de que muchos clientes piden el lenguaje generacional sin entender qué están pidiendo completa este cuadro y puede leerse con Kotler, Kartajaya y Setiawan (2017): buena parte de la demanda traslada al entorno digital la vieja lógica de la interrupción —estar donde la audiencia está, hablar como la audiencia habla— sin asumir el cambio de paradigma hacia la participación y la relevancia cultural que ese entorno exige.</w:t>
      </w:r>
    </w:p>
    <w:p>
      <w:pPr>
        <w:pStyle w:val="Heading2"/>
        <w:spacing w:after="140" w:before="220"/>
      </w:pPr>
      <w:r>
        <w:rPr>
          <w:rFonts w:ascii="Times New Roman" w:cs="Times New Roman" w:eastAsia="Times New Roman" w:hAnsi="Times New Roman"/>
          <w:b/>
          <w:bCs/>
          <w:sz w:val="26"/>
          <w:szCs w:val="26"/>
        </w:rPr>
        <w:t xml:space="preserve">4.4 Tensiones emergentes: autenticidad, coherencia y adaptación</w:t>
      </w:r>
    </w:p>
    <w:p>
      <w:pPr>
        <w:pStyle w:val="Heading3"/>
        <w:spacing w:after="120" w:before="160"/>
      </w:pPr>
      <w:r>
        <w:rPr>
          <w:rFonts w:ascii="Times New Roman" w:cs="Times New Roman" w:eastAsia="Times New Roman" w:hAnsi="Times New Roman"/>
          <w:b/>
          <w:bCs/>
          <w:i/>
          <w:iCs/>
          <w:sz w:val="24"/>
          <w:szCs w:val="24"/>
        </w:rPr>
        <w:t xml:space="preserve">Resultados</w:t>
      </w:r>
    </w:p>
    <w:p>
      <w:pPr>
        <w:spacing w:after="160" w:line="360"/>
        <w:jc w:val="both"/>
      </w:pPr>
      <w:r>
        <w:rPr>
          <w:rFonts w:ascii="Times New Roman" w:cs="Times New Roman" w:eastAsia="Times New Roman" w:hAnsi="Times New Roman"/>
          <w:sz w:val="24"/>
          <w:szCs w:val="24"/>
        </w:rPr>
        <w:t xml:space="preserve">El análisis de contenido digital con netnografía integrada aplicado a las seis piezas del referente (Ver Ficha de Análisis de Contenido, Cuerpo C) aporta los datos sobre cómo se incorporan los códigos generacionales en un caso considerado exitoso. En las seis piezas, los memes y formatos utilizados se encontraban en su fase de mayor vigencia al momento de la publicación. La pieza “POV: you stole Jake Gyllenhaal’s iPhone” (TikTok, diciembre de 2021) se sumó a la cancelación del actor menos de un mes después del hecho que la detonó; la pieza “Knicks” (Instagram, junio de 2025) intervino durante la temporada de playoffs de la NBA; y la pieza basada en el meme “Tung Tung Tung Sahur” se publicó mientras la referencia mantenía circulación activa. En las seis piezas, asimismo, la marca no reprodujo el código de manera literal, sino que lo adaptó a su universo articulándolo en torno al personaje de su mascota, el búho Duo; y en ninguna recurrió a explicar la referencia o a justificar su participación en la tendencia.</w:t>
      </w:r>
    </w:p>
    <w:p>
      <w:pPr>
        <w:spacing w:after="160" w:line="360"/>
        <w:jc w:val="both"/>
      </w:pPr>
      <w:r>
        <w:rPr>
          <w:rFonts w:ascii="Times New Roman" w:cs="Times New Roman" w:eastAsia="Times New Roman" w:hAnsi="Times New Roman"/>
          <w:sz w:val="24"/>
          <w:szCs w:val="24"/>
        </w:rPr>
        <w:t xml:space="preserve">La dimensión netnográfica registró que, en las seis piezas, el tono predominante de los comentarios más destacados fue positivo, oscilando entre la celebración entre pares que reconocen la referencia y la identificación con la situación planteada. De manera consistente, los usuarios replicaron y ampliaron el lenguaje de la marca, sumando sus propias variaciones e interactuando con la cuenta a modo de conversación; en varias piezas se registró además la intervención de cuentas externas. Las métricas evidencian la magnitud del fenómeno y una asimetría entre plataformas: las piezas de TikTok alcanzaron entre dieciséis y veintitrés millones de visualizaciones y entre dos y dos millones y medio de me gusta, con decenas de miles de comentarios y compartidos, mientras que las piezas de Instagram operaron en una escala sensiblemente menor. La pieza sobre la serie Euphoria obtuvo la evaluación más alta de autenticidad percibida, dado que la referencia cultural se integró a la función del producto: el meme se construyó como un ejercicio real de traducción de la aplicación.</w:t>
      </w:r>
    </w:p>
    <w:p>
      <w:pPr>
        <w:pStyle w:val="Heading3"/>
        <w:spacing w:after="120" w:before="160"/>
      </w:pPr>
      <w:r>
        <w:rPr>
          <w:rFonts w:ascii="Times New Roman" w:cs="Times New Roman" w:eastAsia="Times New Roman" w:hAnsi="Times New Roman"/>
          <w:b/>
          <w:bCs/>
          <w:i/>
          <w:iCs/>
          <w:sz w:val="24"/>
          <w:szCs w:val="24"/>
        </w:rPr>
        <w:t xml:space="preserve">Hallazgos</w:t>
      </w:r>
    </w:p>
    <w:p>
      <w:pPr>
        <w:spacing w:after="160" w:line="360"/>
        <w:jc w:val="both"/>
      </w:pPr>
      <w:r>
        <w:rPr>
          <w:rFonts w:ascii="Times New Roman" w:cs="Times New Roman" w:eastAsia="Times New Roman" w:hAnsi="Times New Roman"/>
          <w:sz w:val="24"/>
          <w:szCs w:val="24"/>
        </w:rPr>
        <w:t xml:space="preserve">El primer hallazgo es que el referente resuelve la tensión del timing por la vía positiva: la ausencia del uso tardío —el error más señalado por la audiencia en la encuesta— es uno de los rasgos que distinguen al caso. La publicación en la fase de vigencia de cada tendencia confirma lo que la entrevistada definió como condición indispensable y demuestra que la marca dispone de la autonomía y la velocidad que el análisis del Capítulo 3 identificó como necesarias. El dato de campo valida, por contraste, la premisa teórica sobre la incompatibilidad entre los ciclos de aprobación lentos y la velocidad de las plataformas.</w:t>
      </w:r>
    </w:p>
    <w:p>
      <w:pPr>
        <w:spacing w:after="160" w:line="360"/>
        <w:jc w:val="both"/>
      </w:pPr>
      <w:r>
        <w:rPr>
          <w:rFonts w:ascii="Times New Roman" w:cs="Times New Roman" w:eastAsia="Times New Roman" w:hAnsi="Times New Roman"/>
          <w:sz w:val="24"/>
          <w:szCs w:val="24"/>
        </w:rPr>
        <w:t xml:space="preserve">Cabe precisar que esta resolución del timing no equivale a mera rapidez de reacción: lo que las piezas evidencian es la capacidad de leer el ciclo de vida de cada tendencia y de intervenir en su fase de circulación activa, competencia que el informe de TikTok Business (2023) asocia con los contenidos de mejor desempeño en la plataforma. La velocidad es la condición material de esa lectura, pero el criterio cultural —saber qué momento del ciclo atraviesa una referencia— es su condición cognitiva.</w:t>
      </w:r>
    </w:p>
    <w:p>
      <w:pPr>
        <w:spacing w:after="160" w:line="360"/>
        <w:jc w:val="both"/>
      </w:pPr>
      <w:r>
        <w:rPr>
          <w:rFonts w:ascii="Times New Roman" w:cs="Times New Roman" w:eastAsia="Times New Roman" w:hAnsi="Times New Roman"/>
          <w:sz w:val="24"/>
          <w:szCs w:val="24"/>
        </w:rPr>
        <w:t xml:space="preserve">Un segundo hallazgo es que la adaptación con voz propia constituye la manifestación concreta de la coherencia identitaria. La operación de resignificar el código ajeno a través de un personaje reconocible —el búho Duo— funciona como ancla de continuidad: cualquiera sea la tendencia incorporada, el contenido sigue siendo inequívocamente de la marca. Este hallazgo se vincula con la afirmación de Shifman (2014) según la cual los memes se resignifican en la apropiación que cada comunidad realiza de ellos, y explica por qué la audiencia percibe estas piezas como genuinas pese a tratarse de decisiones estratégicas. Se confirma, en línea con la entrevistada, que lo calculado no es necesariamente falso: la autenticidad en comunicación equivale a coherencia, no a espontaneidad.</w:t>
      </w:r>
    </w:p>
    <w:p>
      <w:pPr>
        <w:spacing w:after="160" w:line="360"/>
        <w:jc w:val="both"/>
      </w:pPr>
      <w:r>
        <w:rPr>
          <w:rFonts w:ascii="Times New Roman" w:cs="Times New Roman" w:eastAsia="Times New Roman" w:hAnsi="Times New Roman"/>
          <w:sz w:val="24"/>
          <w:szCs w:val="24"/>
        </w:rPr>
        <w:t xml:space="preserve">Un tercer hallazgo se desprende del tono mayoritariamente positivo y de la replicación del lenguaje de la marca por parte de los usuarios: el engagement obtenido es del tipo participativo descripto por Jenkins (2006), aquel en que la audiencia se vuelve coproductora del contenido. Este es el engagement de mayor valor estratégico y se distingue cualitativamente del que generan los casos de cringe, que produce interacción negativa o viralización paródica. La asimetría entre TikTok e Instagram, por su parte, confirma las lógicas diferenciadas de plataforma analizadas en el Capítulo 2 y la pertinencia de la variable contextual.</w:t>
      </w:r>
    </w:p>
    <w:p>
      <w:pPr>
        <w:spacing w:after="160" w:line="360"/>
        <w:jc w:val="both"/>
      </w:pPr>
      <w:r>
        <w:rPr>
          <w:rFonts w:ascii="Times New Roman" w:cs="Times New Roman" w:eastAsia="Times New Roman" w:hAnsi="Times New Roman"/>
          <w:sz w:val="24"/>
          <w:szCs w:val="24"/>
        </w:rPr>
        <w:t xml:space="preserve">Finalmente, la pieza sobre Euphoria, con la máxima autenticidad percibida, aporta el hallazgo de que la apropiación más lograda no es la que mejor imita la tendencia, sino la que la articula de manera orgánica con la propuesta de valor del producto. No obstante, el análisis deja emerger una tensión no resuelta: la pieza “Knicks” opera sobre un código de pertenencia específico de la comunidad de fanáticos de la NBA, lo que recuerda que la Generación Z no es un bloque homogéneo, sino un conjunto de subculturas con códigos propios, tal como advirtieron Muggleton (2000) y Bennett (2011). La pertinencia cultural no es absoluta sino relativa a la comunidad que se busca interpelar, lo que constituye un punto crítico para cualquier marca que no posea una base identitaria tan sólida como la del referente.</w:t>
      </w:r>
    </w:p>
    <w:p>
      <w:pPr>
        <w:spacing w:after="160" w:line="360"/>
        <w:jc w:val="both"/>
      </w:pPr>
      <w:r>
        <w:rPr>
          <w:rFonts w:ascii="Times New Roman" w:cs="Times New Roman" w:eastAsia="Times New Roman" w:hAnsi="Times New Roman"/>
          <w:sz w:val="24"/>
          <w:szCs w:val="24"/>
        </w:rPr>
        <w:t xml:space="preserve">Considerados en conjunto, los datos de las seis piezas pueden ordenarse según las tres dimensiones de la variable independiente operacionalizadas en el Capítulo 3, y el resultado es consistente: en la dimensión del tono y registro, todas sostienen el humor absurdo y la autoironía que caracterizan la voz de la marca; en la dimensión de la apropiación de formatos y códigos, todas participan de referencias en circulación activa y ninguna incurre en sobreexplicación; y en la dimensión de la coherencia identitaria, todas se articulan en torno al personaje de la mascota, que garantiza la continuidad reconocible del enunciador. Esta triple consistencia es la que permite caracterizar al referente como un caso de participación pertinente y coherente en los términos de la operacionalización, y explica que la respuesta de la audiencia registrada por la netnografía se ubique de manera sistemática en el polo positivo de la variable dependiente.</w:t>
      </w:r>
    </w:p>
    <w:p>
      <w:pPr>
        <w:pStyle w:val="Heading2"/>
        <w:spacing w:after="140" w:before="220"/>
      </w:pPr>
      <w:r>
        <w:rPr>
          <w:rFonts w:ascii="Times New Roman" w:cs="Times New Roman" w:eastAsia="Times New Roman" w:hAnsi="Times New Roman"/>
          <w:b/>
          <w:bCs/>
          <w:sz w:val="26"/>
          <w:szCs w:val="26"/>
        </w:rPr>
        <w:t xml:space="preserve">4.5 Análisis comparativo e interpretación de resultados</w:t>
      </w:r>
    </w:p>
    <w:p>
      <w:pPr>
        <w:spacing w:after="160" w:line="360"/>
        <w:jc w:val="both"/>
      </w:pPr>
      <w:r>
        <w:rPr>
          <w:rFonts w:ascii="Times New Roman" w:cs="Times New Roman" w:eastAsia="Times New Roman" w:hAnsi="Times New Roman"/>
          <w:sz w:val="24"/>
          <w:szCs w:val="24"/>
        </w:rPr>
        <w:t xml:space="preserve">La triangulación de los tres instrumentos permite confrontar de manera sistemática los hallazgos con las tres regularidades empíricas formuladas en el Capítulo 3, y evidencia un grado notable de convergencia entre lo que muestran las piezas, lo que percibe la audiencia y lo que sostiene la perspectiva profesional.</w:t>
      </w:r>
    </w:p>
    <w:p>
      <w:pPr>
        <w:spacing w:after="160" w:line="360"/>
        <w:jc w:val="both"/>
      </w:pPr>
      <w:r>
        <w:rPr>
          <w:rFonts w:ascii="Times New Roman" w:cs="Times New Roman" w:eastAsia="Times New Roman" w:hAnsi="Times New Roman"/>
          <w:sz w:val="24"/>
          <w:szCs w:val="24"/>
        </w:rPr>
        <w:t xml:space="preserve">Antes de desarrollar ese contraste, conviene explicitar el estatuto metodológico de la convergencia. Dado que la muestra de la encuesta no es probabilística, que el análisis de contenido se concentra en un único referente y que la entrevista corresponde a una única informante, ninguna de las tres fuentes podría sostener conclusiones por sí sola; la fuerza del análisis reside en que tres instrumentos independientes, aplicados sobre sujetos y materiales distintos, arrojan resultados que apuntan en la misma dirección. En términos de Sautu (2005), esa convergencia entre técnicas constituye el criterio de validez propio de los diseños cualitativos de alcance correlacional: no la representatividad estadística de cada dato, sino la consistencia del patrón que los atraviesa.</w:t>
      </w:r>
    </w:p>
    <w:p>
      <w:pPr>
        <w:spacing w:after="160" w:line="360"/>
        <w:jc w:val="both"/>
      </w:pPr>
      <w:r>
        <w:rPr>
          <w:rFonts w:ascii="Times New Roman" w:cs="Times New Roman" w:eastAsia="Times New Roman" w:hAnsi="Times New Roman"/>
          <w:sz w:val="24"/>
          <w:szCs w:val="24"/>
        </w:rPr>
        <w:t xml:space="preserve">Al contrastar la primera regularidad —según la cual las marcas que usan el lenguaje generacional de manera coherente con su identidad obtienen mayor engagement positivo y autenticidad percibida— con la evidencia recolectada, se confirma su validez de manera plena. La encuesta identificó la naturalidad y la coherencia identitaria como los factores más asociados a la autenticidad; el análisis de contenido mostró que el referente sostiene esa coherencia a través de su personaje de marca y obtiene, en correspondencia, un engagement participativo; y la entrevista situó la coherencia como primer filtro de credibilidad. La recurrencia de este patrón en las tres fuentes valida la premisa teórica de Banet-Weiser (2012) sobre la autenticidad como coherencia y permite afirmar que la coherencia identitaria es el factor más determinante de la percepción de autenticidad.</w:t>
      </w:r>
    </w:p>
    <w:p>
      <w:pPr>
        <w:spacing w:after="160" w:line="360"/>
        <w:jc w:val="both"/>
      </w:pPr>
      <w:r>
        <w:rPr>
          <w:rFonts w:ascii="Times New Roman" w:cs="Times New Roman" w:eastAsia="Times New Roman" w:hAnsi="Times New Roman"/>
          <w:sz w:val="24"/>
          <w:szCs w:val="24"/>
        </w:rPr>
        <w:t xml:space="preserve">La segunda regularidad —el uso descontextualizado, tardío o incongruente genera rechazo— también se confirma, con un matiz relevante aportado por el campo. La encuesta verificó que los errores identificados por la audiencia coinciden con los patrones teóricos del cringe; la entrevista los corroboró y explicó su causa estructural; y el análisis del referente mostró la situación inversa, es decir, la evitación sistemática de esos errores. El matiz proviene de la dimensión conductual: si bien el dato sugiere una reacción de rechazo, la interpretación profunda indica que ese rechazo adopta predominantemente la forma de un retiro silencioso de la atención, y solo en su expresión más visible la de la viralización irónica. Esta precisión enriquece la regularidad sin refutarla.</w:t>
      </w:r>
    </w:p>
    <w:p>
      <w:pPr>
        <w:spacing w:after="160" w:line="360"/>
        <w:jc w:val="both"/>
      </w:pPr>
      <w:r>
        <w:rPr>
          <w:rFonts w:ascii="Times New Roman" w:cs="Times New Roman" w:eastAsia="Times New Roman" w:hAnsi="Times New Roman"/>
          <w:sz w:val="24"/>
          <w:szCs w:val="24"/>
        </w:rPr>
        <w:t xml:space="preserve">La tercera regularidad —la Generación Z distingue con precisión la participación genuina de la explotación comercial— se confirma de manera robusta. La capacidad de detección del 94% relevada en la encuesta, los criterios explícitos formulados en las respuestas abiertas y la articulación de la distinción participar/usar por parte de la entrevistada demuestran que esa distinción no es meramente intuitiva sino argumentable. Su incidencia sobre el comportamiento se verifica en la proporción de encuestados que abandonaron o consideraron abandonar marcas por comunicación forzada y en la concentración de las respuestas en los valores altos de la escala que mide el peso de la comunicación en la decisión de consumo.</w:t>
      </w:r>
    </w:p>
    <w:p>
      <w:pPr>
        <w:spacing w:after="160" w:line="360"/>
        <w:jc w:val="both"/>
      </w:pPr>
      <w:r>
        <w:rPr>
          <w:rFonts w:ascii="Times New Roman" w:cs="Times New Roman" w:eastAsia="Times New Roman" w:hAnsi="Times New Roman"/>
          <w:sz w:val="24"/>
          <w:szCs w:val="24"/>
        </w:rPr>
        <w:t xml:space="preserve">El examen conjunto de las tres regularidades permite precisar, además, la naturaleza de las dos condiciones mediadoras. La coherencia identitaria opera como una condición estructural: no se verifica en cada pieza aislada sino en el historial completo de la marca, en la consistencia de su voz a lo largo del tiempo y de las plataformas, y por eso no puede improvisarse ante cada tendencia. La comprensión cultural genuina, en cambio, opera como una condición situacional: se actualiza en cada decisión concreta —qué referencia usar, en qué momento de su ciclo, con qué aporte propio— y por eso exige una escucha permanente de las comunidades. Ambas condiciones son necesarias y ninguna es suficiente: una marca coherente que malinterpreta una referencia incurre en el error puntual que la audiencia detecta de inmediato, y una marca que comprende los códigos pero carece de una identidad que los sostenga produce piezas correctas que, sin embargo, son leídas como disfraz.</w:t>
      </w:r>
    </w:p>
    <w:p>
      <w:pPr>
        <w:spacing w:after="160" w:line="360"/>
        <w:jc w:val="both"/>
      </w:pPr>
      <w:r>
        <w:rPr>
          <w:rFonts w:ascii="Times New Roman" w:cs="Times New Roman" w:eastAsia="Times New Roman" w:hAnsi="Times New Roman"/>
          <w:sz w:val="24"/>
          <w:szCs w:val="24"/>
        </w:rPr>
        <w:t xml:space="preserve">Más allá de la confirmación de las regularidades, la interpretación integrada permite comprender el funcionamiento de la relación entre las variables centrales. La evidencia sugiere que la variable independiente —el uso del lenguaje generacional— no produce por sí misma un efecto positivo sobre la variable dependiente —la autenticidad percibida y la disminución del riesgo de rechazo—, sino que ese efecto está mediado por dos condiciones: la coherencia identitaria y la comprensión cultural genuina. Cuando ambas condiciones están presentes, como en el referente, el uso del lenguaje favorece la conexión y el engagement participativo; cuando están ausentes, el mismo uso produce distancia, deterioro de la percepción y, en su forma más visible, rechazo viralizado. Esta lectura, sostenida por la triangulación de las tres fuentes, confirma la hipótesis formulada en la introducción del Proyecto de Graduación. El capítulo siguiente traduce estos hallazgos en lineamientos estratégicos para la práctica profesional.</w:t>
      </w:r>
    </w:p>
    <w:p>
      <w:pPr>
        <w:pStyle w:val="Heading1"/>
        <w:spacing w:after="200" w:before="280"/>
      </w:pPr>
      <w:r>
        <w:rPr>
          <w:rFonts w:ascii="Times New Roman" w:cs="Times New Roman" w:eastAsia="Times New Roman" w:hAnsi="Times New Roman"/>
          <w:b/>
          <w:bCs/>
          <w:sz w:val="30"/>
          <w:szCs w:val="30"/>
        </w:rPr>
        <w:t xml:space="preserve">Capítulo 5: Lineamientos estratégicos para una comunicación auténtica con la Generación Z</w:t>
      </w:r>
    </w:p>
    <w:p>
      <w:pPr>
        <w:spacing w:after="160" w:line="360"/>
        <w:jc w:val="both"/>
      </w:pPr>
      <w:r>
        <w:rPr>
          <w:rFonts w:ascii="Times New Roman" w:cs="Times New Roman" w:eastAsia="Times New Roman" w:hAnsi="Times New Roman"/>
          <w:sz w:val="24"/>
          <w:szCs w:val="24"/>
        </w:rPr>
        <w:t xml:space="preserve">A partir de los hallazgos sistematizados en el Capítulo 4, el presente capítulo formula un conjunto de lineamientos estratégicos orientados a la práctica profesional. El propósito no es ofrecer una fórmula de aplicación mecánica —lo que contradiría la naturaleza del fenómeno estudiado— sino sistematizar principios fundamentados en la evidencia que orienten las decisiones de las marcas que buscan comunicarse de manera auténtica con la Generación Z. Cada lineamiento se desprende de los hallazgos del trabajo de campo y se articula con los conceptos del marco teórico, de modo que las recomendaciones constituyan conclusiones derivadas del análisis y no opiniones. El capítulo se organiza en cinco apartados, que recorren los principios generales, las oportunidades y los límites del lenguaje generacional, las estrategias de contenido, la construcción de comunidad y las recomendaciones finales para la práctica profesional.</w:t>
      </w:r>
    </w:p>
    <w:p>
      <w:pPr>
        <w:spacing w:after="160" w:line="360"/>
        <w:jc w:val="both"/>
      </w:pPr>
      <w:r>
        <w:rPr>
          <w:rFonts w:ascii="Times New Roman" w:cs="Times New Roman" w:eastAsia="Times New Roman" w:hAnsi="Times New Roman"/>
          <w:sz w:val="24"/>
          <w:szCs w:val="24"/>
        </w:rPr>
        <w:t xml:space="preserve">En tanto traducción de los hallazgos a la práctica, este capítulo constituye la respuesta operativa al objetivo general del Proyecto de Graduación: si el análisis estableció que el uso del lenguaje de la Generación Z incide en la percepción de autenticidad y en el riesgo de rechazo de manera mediada por la coherencia identitaria y la comprensión cultural genuina, los lineamientos que siguen especifican qué decisiones permiten construir esas dos condiciones y qué errores las comprometen. Cada apartado sigue una misma lógica expositiva: parte de un hallazgo verificado en el campo, lo articula con el concepto teórico que lo explica y deriva de ese cruce una orientación para la práctica, junto con sus condiciones de aplicación y sus límites. Las tres regularidades empíricas confirmadas en el apartado 4.5 funcionan, así, como el fundamento común del conjunto.</w:t>
      </w:r>
    </w:p>
    <w:p>
      <w:pPr>
        <w:pStyle w:val="Heading2"/>
        <w:spacing w:after="140" w:before="220"/>
      </w:pPr>
      <w:r>
        <w:rPr>
          <w:rFonts w:ascii="Times New Roman" w:cs="Times New Roman" w:eastAsia="Times New Roman" w:hAnsi="Times New Roman"/>
          <w:b/>
          <w:bCs/>
          <w:sz w:val="26"/>
          <w:szCs w:val="26"/>
        </w:rPr>
        <w:t xml:space="preserve">5.1 Principios para la construcción de una comunicación relevante</w:t>
      </w:r>
    </w:p>
    <w:p>
      <w:pPr>
        <w:spacing w:after="160" w:line="360"/>
        <w:jc w:val="both"/>
      </w:pPr>
      <w:r>
        <w:rPr>
          <w:rFonts w:ascii="Times New Roman" w:cs="Times New Roman" w:eastAsia="Times New Roman" w:hAnsi="Times New Roman"/>
          <w:sz w:val="24"/>
          <w:szCs w:val="24"/>
        </w:rPr>
        <w:t xml:space="preserve">El primer principio que se desprende del análisis es la primacía de la coherencia sobre la imitación. La triangulación demostró que la autenticidad percibida no depende de la informalidad del tono ni de la cantidad de códigos incorporados, sino de la consistencia entre lo que la marca dice, representa y comunica. En consecuencia, el punto de partida de toda estrategia de comunicación con la Generación Z no debe ser la pregunta sobre qué lenguaje usar, sino sobre qué identidad sostener: una marca que no ha definido su propia voz difícilmente pueda adoptar un registro generacional sin que se perciba como un disfraz superpuesto.</w:t>
      </w:r>
    </w:p>
    <w:p>
      <w:pPr>
        <w:spacing w:after="160" w:line="360"/>
        <w:jc w:val="both"/>
      </w:pPr>
      <w:r>
        <w:rPr>
          <w:rFonts w:ascii="Times New Roman" w:cs="Times New Roman" w:eastAsia="Times New Roman" w:hAnsi="Times New Roman"/>
          <w:sz w:val="24"/>
          <w:szCs w:val="24"/>
        </w:rPr>
        <w:t xml:space="preserve">Este principio se ancla en el hallazgo más consistente del trabajo de campo: la coherencia identitaria fue identificada como factor determinante por las tres fuentes —la valoración condicional del 71% de los encuestados y la jerarquía de factores encabezada por la naturalidad, el primer filtro de credibilidad descripto por la informante clave y la consistencia verificada en las seis piezas del referente—, lo que le otorga el mayor respaldo empírico de todos los lineamientos. Su fundamento teórico es la concepción de la autenticidad como construcción social que resulta de la coherencia percibida entre lo que la marca declara, hace y comunica (Banet-Weiser, 2012). En términos de aplicación, el principio exige una instancia previa de diagnóstico que la mayoría de los procesos de campaña omite: antes de evaluar tendencias o referencias, la marca debe poder explicitar cuál es su voz, qué historia la respalda y qué registro puede sostener sin contradecirse. El contraste con los usos fallidos relevados en la encuesta es directo: la falta de relación entre el tono adoptado y la identidad de la marca figura entre los errores más señalados por la audiencia, lo que confirma que omitir ese diagnóstico no es una limitación menor sino la causa primera del cringe.</w:t>
      </w:r>
    </w:p>
    <w:p>
      <w:pPr>
        <w:spacing w:after="160" w:line="360"/>
        <w:jc w:val="both"/>
      </w:pPr>
      <w:r>
        <w:rPr>
          <w:rFonts w:ascii="Times New Roman" w:cs="Times New Roman" w:eastAsia="Times New Roman" w:hAnsi="Times New Roman"/>
          <w:sz w:val="24"/>
          <w:szCs w:val="24"/>
        </w:rPr>
        <w:t xml:space="preserve">El segundo principio es la prioridad de la relación sobre el lenguaje. Antes de pensar en cómo hablarle a la Generación Z, una marca debería poder responder por qué esa generación querría escucharla y qué tiene para ofrecerle más allá de su producto. Esta inversión del orden habitual se sostiene en la evidencia de la encuesta, donde el 70% valoró la naturalidad y una proporción significativa privilegió que las marcas no intenten vender de manera constante y participen genuinamente en las conversaciones. El lenguaje es la manifestación de un vínculo que debe existir previamente; cuando ese vínculo no existe, se vuelve, en términos de la informante clave, solo ruido.</w:t>
      </w:r>
    </w:p>
    <w:p>
      <w:pPr>
        <w:spacing w:after="160" w:line="360"/>
        <w:jc w:val="both"/>
      </w:pPr>
      <w:r>
        <w:rPr>
          <w:rFonts w:ascii="Times New Roman" w:cs="Times New Roman" w:eastAsia="Times New Roman" w:hAnsi="Times New Roman"/>
          <w:sz w:val="24"/>
          <w:szCs w:val="24"/>
        </w:rPr>
        <w:t xml:space="preserve">El fundamento de esta inversión se encuentra en el desplazamiento que Kotler, Kartajaya y Setiawan (2017) describen del marketing de la interrupción al de la participación: en un ecosistema donde la audiencia decide qué merece su atención, la pregunta por el derecho a participar de una conversación antecede a la pregunta por el modo de hacerlo. El criterio formulado por la informante clave —determinar si la marca tiene algo genuino para ofrecer o solo quiere subirse a algo porque lo vio viral— ofrece la traducción operativa de este principio y, según su testimonio, separa los proyectos que funcionan de los que terminan mal. Su condición de aplicación es una presencia conversacional sostenida: responder a comentarios y participar de los intercambios —prácticas explícitamente valoradas por los encuestados— no como táctica de campaña sino como conducta permanente. El uso fallido correspondiente también quedó documentado en el campo: la mezcla del lenguaje generacional con un mensaje comercial demasiado obvio, uno de los errores más señalados, expone precisamente la ausencia de algo que ofrecer más allá de la venta.</w:t>
      </w:r>
    </w:p>
    <w:p>
      <w:pPr>
        <w:spacing w:after="160" w:line="360"/>
        <w:jc w:val="both"/>
      </w:pPr>
      <w:r>
        <w:rPr>
          <w:rFonts w:ascii="Times New Roman" w:cs="Times New Roman" w:eastAsia="Times New Roman" w:hAnsi="Times New Roman"/>
          <w:sz w:val="24"/>
          <w:szCs w:val="24"/>
        </w:rPr>
        <w:t xml:space="preserve">El tercer principio es la comprensión de la autenticidad como un proyecto de identidad de largo plazo y no como un atributo activable según la conveniencia de cada campaña. Tal como sostiene Banet-Weiser (2012) y confirma la evidencia, la Generación Z evalúa a las marcas de manera holística, considerando sus prácticas además de sus piezas. La autenticidad no puede improvisarse: es el resultado de una historia de coherencia que la respalda. Las marcas que intentan incorporar el lenguaje generacional de manera repentina, sin trayectoria previa en ese registro, son percibidas como oportunistas, con independencia de la calidad técnica de su producción.</w:t>
      </w:r>
    </w:p>
    <w:p>
      <w:pPr>
        <w:spacing w:after="160" w:line="360"/>
        <w:jc w:val="both"/>
      </w:pPr>
      <w:r>
        <w:rPr>
          <w:rFonts w:ascii="Times New Roman" w:cs="Times New Roman" w:eastAsia="Times New Roman" w:hAnsi="Times New Roman"/>
          <w:sz w:val="24"/>
          <w:szCs w:val="24"/>
        </w:rPr>
        <w:t xml:space="preserve">Este principio incorpora la dimensión temporal que el análisis reveló como constitutiva de la autenticidad. La marca que pretende activar el registro generacional para una campaña puntual enfrenta una imposibilidad estructural: la audiencia no evalúa la pieza aislada sino la trayectoria, y una voz sin historia es leída como impostación aun cuando su ejecución sea impecable. A ello se suma la memoria digital que Marwick (2013) atribuye a estos entornos: los errores y los virajes abruptos de tono quedan registrados y pueden resurgir para contextualizar negativamente cualquier iniciativa futura, de modo que cada decisión comunicacional compromete también la credibilidad de las siguientes. La condición de aplicación es, en consecuencia, la gradualidad: la incorporación de códigos generacionales debe construirse como una evolución verosímil de la voz existente y no como una conversión repentina. El referente analizado ilustra el punto por la positiva: su registro actual no es una campaña sino una identidad sostenida durante años, y es esa continuidad la que vuelve creíble cada pieza individual.</w:t>
      </w:r>
    </w:p>
    <w:p>
      <w:pPr>
        <w:spacing w:after="160" w:line="360"/>
        <w:jc w:val="both"/>
      </w:pPr>
      <w:r>
        <w:rPr>
          <w:rFonts w:ascii="Times New Roman" w:cs="Times New Roman" w:eastAsia="Times New Roman" w:hAnsi="Times New Roman"/>
          <w:sz w:val="24"/>
          <w:szCs w:val="24"/>
        </w:rPr>
        <w:t xml:space="preserve">El cuarto principio es la dimensión ética de la comunicación. La adopción del lenguaje de una generación que valora la coherencia entre el discurso y la práctica exige que esa coherencia exista efectivamente. Una marca que adopta el registro de la Generación Z mientras sostiene prácticas que contradicen sus valores incurre en una performatividad vacía que, lejos de construir cercanía, expone su contradicción. La responsabilidad de la comunicación no se agota en la intención del mensaje, sino que se extiende a la coherencia integral de la marca.</w:t>
      </w:r>
    </w:p>
    <w:p>
      <w:pPr>
        <w:spacing w:after="160" w:line="360"/>
        <w:jc w:val="both"/>
      </w:pPr>
      <w:r>
        <w:rPr>
          <w:rFonts w:ascii="Times New Roman" w:cs="Times New Roman" w:eastAsia="Times New Roman" w:hAnsi="Times New Roman"/>
          <w:sz w:val="24"/>
          <w:szCs w:val="24"/>
        </w:rPr>
        <w:t xml:space="preserve">Este cuarto principio se desprende del límite ético formulado por la informante clave y de la desconfianza ante el uso instrumental del lenguaje registrada en las respuestas abiertas de la encuesta, y encuentra su fundamento en la concepción del lenguaje como práctica ideológica de Fairclough (2003): apropiarse de los códigos de una comunidad es intervenir en un sistema de significados que esa comunidad construyó con propósitos que exceden el consumo, y esa intervención queda sometida al juicio de quienes detentan, en términos de Castells (2015), el poder de definir su legitimidad. La condición de aplicación trasciende al equipo de comunicación: exige verificar que las prácticas corporativas no contradigan los valores que el registro generacional connota, puesto que la contradicción entre discurso y práctica configura la performatividad vacía que la audiencia sanciona con mayor severidad. En la línea del antecedente de Scarpello (2025), el principio implica además asumir que la responsabilidad de la marca no se agota en la intención del mensaje sino que alcanza a sus efectos sobre audiencias jóvenes.</w:t>
      </w:r>
    </w:p>
    <w:p>
      <w:pPr>
        <w:spacing w:after="160" w:line="360"/>
        <w:jc w:val="both"/>
      </w:pPr>
      <w:r>
        <w:rPr>
          <w:rFonts w:ascii="Times New Roman" w:cs="Times New Roman" w:eastAsia="Times New Roman" w:hAnsi="Times New Roman"/>
          <w:sz w:val="24"/>
          <w:szCs w:val="24"/>
        </w:rPr>
        <w:t xml:space="preserve">Los cuatro principios comparten, por último, una misma estructura lógica que conviene explicitar: todos subordinan el lenguaje a una condición que lo antecede —la identidad, la relación, la trayectoria y la práctica—, en correspondencia con el hallazgo central del Capítulo 4 según el cual el lenguaje generacional no produce efectos por sí mismo sino mediado por las condiciones que lo sostienen. De allí que ninguno de ellos prescriba recursos expresivos: prescriben las condiciones bajo las cuales cualquier recurso expresivo puede funcionar. Esta subordinación es también el criterio que ordena los apartados siguientes, que descienden desde los principios generales hacia las decisiones concretas de contenido, formato y comunidad.</w:t>
      </w:r>
    </w:p>
    <w:p>
      <w:pPr>
        <w:pStyle w:val="Heading2"/>
        <w:spacing w:after="140" w:before="220"/>
      </w:pPr>
      <w:r>
        <w:rPr>
          <w:rFonts w:ascii="Times New Roman" w:cs="Times New Roman" w:eastAsia="Times New Roman" w:hAnsi="Times New Roman"/>
          <w:b/>
          <w:bCs/>
          <w:sz w:val="26"/>
          <w:szCs w:val="26"/>
        </w:rPr>
        <w:t xml:space="preserve">5.2 Uso del lenguaje generacional: oportunidades y límites</w:t>
      </w:r>
    </w:p>
    <w:p>
      <w:pPr>
        <w:spacing w:after="160" w:line="360"/>
        <w:jc w:val="both"/>
      </w:pPr>
      <w:r>
        <w:rPr>
          <w:rFonts w:ascii="Times New Roman" w:cs="Times New Roman" w:eastAsia="Times New Roman" w:hAnsi="Times New Roman"/>
          <w:sz w:val="24"/>
          <w:szCs w:val="24"/>
        </w:rPr>
        <w:t xml:space="preserve">El uso del lenguaje generacional ofrece la oportunidad de construir relevancia cultural y cercanía mediante la participación en conversaciones que importan a la audiencia, pero esa oportunidad solo se concreta bajo condiciones precisas. La primera es la existencia de un punto de anclaje cultural propio. La informante clave la formuló a través de una pregunta operativa que puede orientar la decisión de cualquier marca: cuál es su búho, es decir, qué elemento de su identidad ya existe en la cultura y puede convertirse en el centro de su presencia digital. El referente pudo construir su estrategia precisamente porque su mascota poseía una personalidad reconocible que la cultura ya había resignificado; no toda marca dispone de ese activo, y reconocerlo es el primer paso para evitar una apropiación sin sustento.</w:t>
      </w:r>
    </w:p>
    <w:p>
      <w:pPr>
        <w:spacing w:after="160" w:line="360"/>
        <w:jc w:val="both"/>
      </w:pPr>
      <w:r>
        <w:rPr>
          <w:rFonts w:ascii="Times New Roman" w:cs="Times New Roman" w:eastAsia="Times New Roman" w:hAnsi="Times New Roman"/>
          <w:sz w:val="24"/>
          <w:szCs w:val="24"/>
        </w:rPr>
        <w:t xml:space="preserve">La condición de aplicación de este criterio merece desarrollarse, porque de ella depende la honestidad del diagnóstico. El anclaje cultural no puede fabricarse en el momento en que se decide la estrategia: el valor del personaje del referente reside en que la cultura ya lo había resignificado antes de que la marca lo convirtiera en el centro de su presencia digital, de modo que la estrategia capitalizó un activo existente en lugar de imponer uno nuevo. Para las marcas que no disponen de un activo equivalente, la respuesta no es inventarlo de manera apresurada —una mascota creada para la ocasión replica la forma del referente sin su historia, y queda expuesta a la lectura de imitación que la propia informante clave anticipó—, sino construir legitimidad por vías alternativas: la evolución gradual de una voz propia o la activación del contenido generado por usuarios que, como se desarrolló en el Capítulo 3 a partir de Jenkins (2006), permite que la cercanía provenga de la comunidad antes que de la marca. Reconocer que no se dispone del activo es, en este marco, una conclusión estratégica valiosa y no un fracaso del diagnóstico.</w:t>
      </w:r>
    </w:p>
    <w:p>
      <w:pPr>
        <w:spacing w:after="160" w:line="360"/>
        <w:jc w:val="both"/>
      </w:pPr>
      <w:r>
        <w:rPr>
          <w:rFonts w:ascii="Times New Roman" w:cs="Times New Roman" w:eastAsia="Times New Roman" w:hAnsi="Times New Roman"/>
          <w:sz w:val="24"/>
          <w:szCs w:val="24"/>
        </w:rPr>
        <w:t xml:space="preserve">La segunda condición es la comprensión efectiva del código que se incorpora. El análisis demostró que la diferencia entre la apropiación legítima y la oportunista no reside en los recursos expresivos, sino en la profundidad de la comprensión cultural que los sustenta. La regla práctica que se desprende del trabajo es que una marca no debería utilizar un código que no comprende, porque la audiencia detecta de inmediato esa falta de comprensión y la sanciona, como evidenció el 94% de capacidad de detección relevado en la encuesta.</w:t>
      </w:r>
    </w:p>
    <w:p>
      <w:pPr>
        <w:spacing w:after="160" w:line="360"/>
        <w:jc w:val="both"/>
      </w:pPr>
      <w:r>
        <w:rPr>
          <w:rFonts w:ascii="Times New Roman" w:cs="Times New Roman" w:eastAsia="Times New Roman" w:hAnsi="Times New Roman"/>
          <w:sz w:val="24"/>
          <w:szCs w:val="24"/>
        </w:rPr>
        <w:t xml:space="preserve">Esta regla práctica se fundamenta en la hiperreferencialidad que caracteriza al lenguaje generacional: dado que cada código condensa capas de referencias cuya pertinencia depende del contexto, del momento y de la comunidad, su uso correcto exige conocer el entramado completo y no solo la forma visible. A ello se agrega la advertencia de Shifman (2014) sobre la vida social de los códigos digitales: una vez publicada la pieza, la marca no controla el modo en que la comunidad resignificará su apropiación, por lo que la comprensión previa es la única protección disponible frente a la parodia y el señalamiento. La condición de aplicación es organizacional antes que creativa: la comprensión efectiva requiere equipos que habiten las plataformas como usuarios y no solo como operadores, y una escucha sostenida que anteceda a la decisión de participar. No es casual que el error más señalado por los encuestados —usar el lenguaje fuera de contexto o sin entenderlo— sea precisamente el que esta condición previene.</w:t>
      </w:r>
    </w:p>
    <w:p>
      <w:pPr>
        <w:spacing w:after="160" w:line="360"/>
        <w:jc w:val="both"/>
      </w:pPr>
      <w:r>
        <w:rPr>
          <w:rFonts w:ascii="Times New Roman" w:cs="Times New Roman" w:eastAsia="Times New Roman" w:hAnsi="Times New Roman"/>
          <w:sz w:val="24"/>
          <w:szCs w:val="24"/>
        </w:rPr>
        <w:t xml:space="preserve">Los límites del uso del lenguaje generacional son tan determinantes como sus oportunidades. El primero es la incongruencia identitaria: cuando el registro contradice la identidad consolidada de la marca, su uso produce el efecto inverso. El segundo es el límite temporal: el uso de códigos en fase de declive expone a la marca como ajena al espacio cultural que pretende habitar. El tercero es el límite ético: la incoherencia entre el lenguaje adoptado y las prácticas reales. La distinción operativa que sintetiza estos límites es la que opone el oportunismo —usar una tendencia para extraer beneficio sin comprenderla— a la oportunidad —sumarse en el momento justo, con algo pertinente que aportar, sin traicionar la propia identidad—, observable en el referente y verificada en los errores que la audiencia identificó.</w:t>
      </w:r>
    </w:p>
    <w:p>
      <w:pPr>
        <w:spacing w:after="160" w:line="360"/>
        <w:jc w:val="both"/>
      </w:pPr>
      <w:r>
        <w:rPr>
          <w:rFonts w:ascii="Times New Roman" w:cs="Times New Roman" w:eastAsia="Times New Roman" w:hAnsi="Times New Roman"/>
          <w:sz w:val="24"/>
          <w:szCs w:val="24"/>
        </w:rPr>
        <w:t xml:space="preserve">Cada uno de estos límites quedó verificado empíricamente en el trabajo de campo, lo que les otorga un estatuto distinto al de meras precauciones. El límite identitario coincide con uno de los errores más señalados en la encuesta —el tono sin relación con la identidad de la marca— y con el primer filtro profesional descripto en la entrevista; el límite temporal se verificó por partida doble, en el recurso a memes desactualizados que los encuestados identificaron como error y en la vigencia sistemática de las referencias que el análisis de contenido registró en el referente; y el límite ético emergió tanto en la desconfianza expresada en las respuestas abiertas como en la posición de la informante clave frente a las marcas cuyas prácticas contradicen los valores que dicen adoptar. La distinción entre oportunismo y oportunidad puede operativizarse, en consecuencia, como una instancia de control previa a cada pieza: qué aporta la marca a la conversación, en qué fase del ciclo se encuentra la referencia y qué relación guarda con la propia identidad. Cuando alguna de las tres respuestas es insatisfactoria, la abstención resulta estratégicamente preferible a la participación, dado que —como estableció la segunda regularidad— el costo del error supera al de la ausencia.</w:t>
      </w:r>
    </w:p>
    <w:p>
      <w:pPr>
        <w:pStyle w:val="Heading2"/>
        <w:spacing w:after="140" w:before="220"/>
      </w:pPr>
      <w:r>
        <w:rPr>
          <w:rFonts w:ascii="Times New Roman" w:cs="Times New Roman" w:eastAsia="Times New Roman" w:hAnsi="Times New Roman"/>
          <w:b/>
          <w:bCs/>
          <w:sz w:val="26"/>
          <w:szCs w:val="26"/>
        </w:rPr>
        <w:t xml:space="preserve">5.3 Estrategias de contenido y adaptación a formatos digitales</w:t>
      </w:r>
    </w:p>
    <w:p>
      <w:pPr>
        <w:spacing w:after="160" w:line="360"/>
        <w:jc w:val="both"/>
      </w:pPr>
      <w:r>
        <w:rPr>
          <w:rFonts w:ascii="Times New Roman" w:cs="Times New Roman" w:eastAsia="Times New Roman" w:hAnsi="Times New Roman"/>
          <w:sz w:val="24"/>
          <w:szCs w:val="24"/>
        </w:rPr>
        <w:t xml:space="preserve">La primera estrategia derivada del análisis es la gestión rigurosa del timing. Dado que la vida útil de los códigos digitales se mide en días e incluso en horas, la participación en una tendencia debe producirse en su fase de vigencia. El obstáculo principal no es técnico sino organizacional: las capas de revisión y aprobación resultan incompatibles con los tiempos de las plataformas. En consecuencia, la recomendación trasciende la producción y alcanza la estructura: las marcas que aspiren a participar de la cultura digital deben otorgar autonomía real a sus equipos de redes, ya que sin esa autonomía la oportunidad se pierde de manera sistemática, como confirmó la informante clave.</w:t>
      </w:r>
    </w:p>
    <w:p>
      <w:pPr>
        <w:spacing w:after="160" w:line="360"/>
        <w:jc w:val="both"/>
      </w:pPr>
      <w:r>
        <w:rPr>
          <w:rFonts w:ascii="Times New Roman" w:cs="Times New Roman" w:eastAsia="Times New Roman" w:hAnsi="Times New Roman"/>
          <w:sz w:val="24"/>
          <w:szCs w:val="24"/>
        </w:rPr>
        <w:t xml:space="preserve">La condición de aplicación de esta estrategia involucra una dimensión que excede los organigramas: la confianza. El contraste relevado en la entrevista entre los circuitos de aprobación de una red global —donde una pieza podía demorar semanas— y la agilidad de una estructura pequeña muestra que el problema no se resuelve con herramientas sino con delegación efectiva del criterio. Conviene precisar, no obstante, que la autonomía recomendada no equivale a ausencia de control, sino a su desplazamiento: en lugar de revisar cada pieza, la organización debe invertir en formar y consensuar el criterio —la identidad, los límites, el tipo de conversaciones en las que la marca participa— para que las decisiones rápidas se tomen dentro de un marco previamente acordado. Esta estrategia admite, además, una contracara que el análisis vuelve explícita: cuando la marca llega tarde al ciclo de una tendencia, la decisión correcta no es publicar de todos modos sino abstenerse, porque la pieza tardía no recupera la oportunidad perdida sino que documenta públicamente el desfasaje, configurando el error más reconocible del cringe.</w:t>
      </w:r>
    </w:p>
    <w:p>
      <w:pPr>
        <w:spacing w:after="160" w:line="360"/>
        <w:jc w:val="both"/>
      </w:pPr>
      <w:r>
        <w:rPr>
          <w:rFonts w:ascii="Times New Roman" w:cs="Times New Roman" w:eastAsia="Times New Roman" w:hAnsi="Times New Roman"/>
          <w:sz w:val="24"/>
          <w:szCs w:val="24"/>
        </w:rPr>
        <w:t xml:space="preserve">La segunda estrategia es la economía expresiva, es decir, la renuncia a la sobreexplicación. El lenguaje de la Generación Z opera bajo una lógica de síntesis, y cualquier exceso —demasiado texto, demasiada aclaración, demasiada obviedad comercial— es leído como una señal de desconfianza hacia la inteligencia de la audiencia. La recomendación es producir contenido que confíe en el conocimiento compartido y active el sentido sin explicarlo, tal como hace el referente, que nunca justifica sus referencias.</w:t>
      </w:r>
    </w:p>
    <w:p>
      <w:pPr>
        <w:spacing w:after="160" w:line="360"/>
        <w:jc w:val="both"/>
      </w:pPr>
      <w:r>
        <w:rPr>
          <w:rFonts w:ascii="Times New Roman" w:cs="Times New Roman" w:eastAsia="Times New Roman" w:hAnsi="Times New Roman"/>
          <w:sz w:val="24"/>
          <w:szCs w:val="24"/>
        </w:rPr>
        <w:t xml:space="preserve">El fundamento de esta estrategia se encuentra en la condensación semiótica que Crystal (2008) describe como rasgo constitutivo del lenguaje digital: la brevedad no es ausencia de profundidad sino la condición para que el conocimiento compartido entre emisor y receptor complete el sentido. Sobreexplicar es, en esos términos, negar la existencia de ese conocimiento compartido, y la audiencia lo lee correctamente como una señal de que la marca no pertenece a la comunidad que sí lo posee; no es casual que la sobreexplicación del chiste o la referencia figure entre los errores señalados por los encuestados. La condición de aplicación de esta estrategia exige tolerar una consecuencia que la lógica publicitaria tradicional resiste: el contenido construido sobre referencias compartidas no será comprendido por todos, y esa renuncia a la universalidad es constitutiva de su eficacia, porque la hiperreferencialidad funciona como señal de pertenencia precisamente en la medida en que distingue a quienes comprenden de quienes no.</w:t>
      </w:r>
    </w:p>
    <w:p>
      <w:pPr>
        <w:spacing w:after="160" w:line="360"/>
        <w:jc w:val="both"/>
      </w:pPr>
      <w:r>
        <w:rPr>
          <w:rFonts w:ascii="Times New Roman" w:cs="Times New Roman" w:eastAsia="Times New Roman" w:hAnsi="Times New Roman"/>
          <w:sz w:val="24"/>
          <w:szCs w:val="24"/>
        </w:rPr>
        <w:t xml:space="preserve">La tercera estrategia es la adaptación a las lógicas específicas de cada plataforma. La asimetría de alcance y registro observada entre TikTok e Instagram confirma que comunicar de manera idéntica en ambas revela un desconocimiento de sus convenciones. Las marcas deben adaptar su tono, sus formatos y sus expectativas estéticas a cada entorno, conservando la coherencia identitaria que las hace reconocibles. La cuarta estrategia, complementaria, es la búsqueda de una estética nativa: la aspiración a un acabado excesivamente pulido, cuando la plataforma premia lo espontáneo, opera como señal de distancia, por lo que en ocasiones conviene ajustar la producción a la gramática visual del entorno antes que a los estándares de la comunicación tradicional.</w:t>
      </w:r>
    </w:p>
    <w:p>
      <w:pPr>
        <w:spacing w:after="160" w:line="360"/>
        <w:jc w:val="both"/>
      </w:pPr>
      <w:r>
        <w:rPr>
          <w:rFonts w:ascii="Times New Roman" w:cs="Times New Roman" w:eastAsia="Times New Roman" w:hAnsi="Times New Roman"/>
          <w:sz w:val="24"/>
          <w:szCs w:val="24"/>
        </w:rPr>
        <w:t xml:space="preserve">La asimetría de escala registrada entre las piezas de TikTok y las de Instagram en el análisis de contenido ofrece el sustento empírico de esta estrategia y confirma que las plataformas no son canales intercambiables sino entornos con gramáticas propias. El fundamento teórico lo aporta Marwick (2013): las normas de visibilidad y legitimidad varían entre espacios digitales, y la autoridad se construye demostrando conocerlas y respetarlas en cada uno. La condición de aplicación reside en el equilibrio entre adaptación y reconocibilidad: la marca debe modular formatos, ritmos y acabados según el entorno sin fragmentar la identidad que la vuelve reconocible, puesto que la incoherencia entre canales es una de las disonancias que esta audiencia, que evalúa a las marcas de manera holística, percibe y sanciona. Respecto de la estética nativa, cabe precisar que la espontaneidad valorada no equivale a descuido: como registra el informe de TikTok Business (2023), los contenidos más eficaces se perciben como espontáneos aun cuando son producidos estratégicamente, de modo que la recomendación no es reducir la calidad sino redirigirla, desde el acabado publicitario tradicional hacia la verosimilitud cultural del resultado.</w:t>
      </w:r>
    </w:p>
    <w:p>
      <w:pPr>
        <w:pStyle w:val="Heading2"/>
        <w:spacing w:after="140" w:before="220"/>
      </w:pPr>
      <w:r>
        <w:rPr>
          <w:rFonts w:ascii="Times New Roman" w:cs="Times New Roman" w:eastAsia="Times New Roman" w:hAnsi="Times New Roman"/>
          <w:b/>
          <w:bCs/>
          <w:sz w:val="26"/>
          <w:szCs w:val="26"/>
        </w:rPr>
        <w:t xml:space="preserve">5.4 Construcción de comunidad, participación y engagement</w:t>
      </w:r>
    </w:p>
    <w:p>
      <w:pPr>
        <w:spacing w:after="160" w:line="360"/>
        <w:jc w:val="both"/>
      </w:pPr>
      <w:r>
        <w:rPr>
          <w:rFonts w:ascii="Times New Roman" w:cs="Times New Roman" w:eastAsia="Times New Roman" w:hAnsi="Times New Roman"/>
          <w:sz w:val="24"/>
          <w:szCs w:val="24"/>
        </w:rPr>
        <w:t xml:space="preserve">El análisis demostró que el engagement de mayor valor estratégico no es el que se mide en la cantidad de interacciones puntuales, sino el que expresa la calidad del vínculo cultural. La primera recomendación es, por lo tanto, desplazar el objetivo desde la viralidad puntual hacia la relevancia sostenida. Las piezas del referente generaron no solo altos volúmenes de interacción, sino un tipo de participación en el que los usuarios replicaron y resignificaron el contenido de la marca, comportamiento propio de la cultura participativa y difícil de replicar mediante la inversión publicitaria convencional.</w:t>
      </w:r>
    </w:p>
    <w:p>
      <w:pPr>
        <w:spacing w:after="160" w:line="360"/>
        <w:jc w:val="both"/>
      </w:pPr>
      <w:r>
        <w:rPr>
          <w:rFonts w:ascii="Times New Roman" w:cs="Times New Roman" w:eastAsia="Times New Roman" w:hAnsi="Times New Roman"/>
          <w:sz w:val="24"/>
          <w:szCs w:val="24"/>
        </w:rPr>
        <w:t xml:space="preserve">El fundamento de este desplazamiento se encuentra en la cultura participativa de Jenkins (2006): el valor diferencial del contenido de marca en estos entornos no reside en cuántas personas lo ven sino en cuántas lo toman como materia prima de su propia producción, porque esa apropiación convierte a la audiencia en distribuidora y legitimadora del mensaje. La viralidad, en este marco, debe entenderse como consecuencia eventual de la relevancia y no como objetivo de diseño: las piezas que persiguen la viralidad como fin —sumándose a cualquier tendencia disponible, como describieron los encuestados al señalar la participación sin aporte propio entre los errores— obtienen, en el mejor de los casos, visibilidad sin vínculo, y en el peor, la visibilidad invertida de la parodia. La condición de aplicación es la paciencia estratégica: la relevancia sostenida se construye pieza a pieza y no admite el horizonte temporal de una campaña.</w:t>
      </w:r>
    </w:p>
    <w:p>
      <w:pPr>
        <w:spacing w:after="160" w:line="360"/>
        <w:jc w:val="both"/>
      </w:pPr>
      <w:r>
        <w:rPr>
          <w:rFonts w:ascii="Times New Roman" w:cs="Times New Roman" w:eastAsia="Times New Roman" w:hAnsi="Times New Roman"/>
          <w:sz w:val="24"/>
          <w:szCs w:val="24"/>
        </w:rPr>
        <w:t xml:space="preserve">La segunda recomendación es activar la participación a través de la cocreación y el reconocimiento. La encuesta confirmó el valor que la Generación Z atribuye al contenido generado por usuarios reales y a la interacción directa. Las marcas que construyen espacios de participación en los que los usuarios sienten que su contribución es valorada —y no instrumentalizada— acceden a formas de legitimidad que la producción interna no puede generar con la misma eficacia. La respuesta a comentarios y la incorporación de las voces de la comunidad constituyen prácticas concretas en esa dirección, valoradas explícitamente por los encuestados.</w:t>
      </w:r>
    </w:p>
    <w:p>
      <w:pPr>
        <w:spacing w:after="160" w:line="360"/>
        <w:jc w:val="both"/>
      </w:pPr>
      <w:r>
        <w:rPr>
          <w:rFonts w:ascii="Times New Roman" w:cs="Times New Roman" w:eastAsia="Times New Roman" w:hAnsi="Times New Roman"/>
          <w:sz w:val="24"/>
          <w:szCs w:val="24"/>
        </w:rPr>
        <w:t xml:space="preserve">El fundamento empírico de esta recomendación es directo: el contenido creado por usuarios reales y la participación de la marca en las conversaciones figuran entre los factores de autenticidad más valorados por los encuestados, y la netnografía registró que la interacción de la cuenta del referente con su audiencia adopta la forma de una conversación entre pares antes que la de una atención corporativa. El fundamento teórico lo aporta Banet-Weiser (2012): la autenticidad se construye, entre otras vías, mediante la demostración de vínculos reales con comunidades reales, y el contenido producido por los propios usuarios es la evidencia más contundente de esos vínculos. La condición de aplicación reside en la diferencia entre reconocimiento e instrumentalización: como advierte Solomon (2020), la activación del contenido de usuarios sin una comunidad previamente construida expone a la marca a resultados que no controla, y la comunidad percibe con precisión cuándo su contribución es valorada y cuándo es simplemente aprovechada como insumo publicitario gratuito.</w:t>
      </w:r>
    </w:p>
    <w:p>
      <w:pPr>
        <w:spacing w:after="160" w:line="360"/>
        <w:jc w:val="both"/>
      </w:pPr>
      <w:r>
        <w:rPr>
          <w:rFonts w:ascii="Times New Roman" w:cs="Times New Roman" w:eastAsia="Times New Roman" w:hAnsi="Times New Roman"/>
          <w:sz w:val="24"/>
          <w:szCs w:val="24"/>
        </w:rPr>
        <w:t xml:space="preserve">La tercera recomendación se vincula con la construcción de un personaje o una voz reconocible que ancle la identidad de la marca en la plataforma. El referente demostró el poder de la personificación: su mascota funciona como un personaje con personalidad propia que habita el mismo universo cultural que la audiencia. Resulta significativo que, en las respuestas abiertas de la encuesta, varios usuarios identificaran de manera espontánea otros ejemplos de personificación exitosa —entre ellos cuentas de clubes de fútbol y de competencias deportivas—, lo que sugiere que la construcción de un personaje reconocible es una estrategia replicable más allá del caso analizado. La clave no es copiar la mascota del referente, sino identificar qué elemento propio puede convertirse en una voz consistente.</w:t>
      </w:r>
    </w:p>
    <w:p>
      <w:pPr>
        <w:spacing w:after="160" w:line="360"/>
        <w:jc w:val="both"/>
      </w:pPr>
      <w:r>
        <w:rPr>
          <w:rFonts w:ascii="Times New Roman" w:cs="Times New Roman" w:eastAsia="Times New Roman" w:hAnsi="Times New Roman"/>
          <w:sz w:val="24"/>
          <w:szCs w:val="24"/>
        </w:rPr>
        <w:t xml:space="preserve">La condición de aplicación de esta recomendación retoma el hallazgo del Capítulo 4 sobre la función del personaje como ancla de continuidad: su eficacia no proviene de su existencia sino de su coherencia, es decir, de que cualquiera sea la tendencia incorporada, el contenido siga siendo inequívocamente de la marca. De ello se desprende que el personaje o la voz deben emerger de la identidad existente —un elemento que la marca ya posee y que la cultura puede resignificar— y no añadirse como artificio; de lo contrario, la estrategia reproduce la forma del referente sin su fundamento y queda expuesta a la lectura de imitación que, en un contexto de saturación creciente, la audiencia realiza cada vez con mayor rapidez.</w:t>
      </w:r>
    </w:p>
    <w:p>
      <w:pPr>
        <w:spacing w:after="160" w:line="360"/>
        <w:jc w:val="both"/>
      </w:pPr>
      <w:r>
        <w:rPr>
          <w:rFonts w:ascii="Times New Roman" w:cs="Times New Roman" w:eastAsia="Times New Roman" w:hAnsi="Times New Roman"/>
          <w:sz w:val="24"/>
          <w:szCs w:val="24"/>
        </w:rPr>
        <w:t xml:space="preserve">La cuarta recomendación es priorizar la calidad del engagement por sobre su cantidad. Un volumen alto de interacción puede ser resultado de una controversia negativa tanto como de una conexión genuina, y la diferencia tiene consecuencias opuestas. El análisis netnográfico del referente mostró un engagement mayoritariamente positivo y participativo, mientras que el cringe genera interacción negativa que, en su forma más visible, deriva en viralización paródica. La recomendación es evaluar el engagement no solo por su magnitud sino por su naturaleza, distinguiendo las interacciones que expresan identificación de las que expresan distancia o ridiculización.</w:t>
      </w:r>
    </w:p>
    <w:p>
      <w:pPr>
        <w:spacing w:after="160" w:line="360"/>
        <w:jc w:val="both"/>
      </w:pPr>
      <w:r>
        <w:rPr>
          <w:rFonts w:ascii="Times New Roman" w:cs="Times New Roman" w:eastAsia="Times New Roman" w:hAnsi="Times New Roman"/>
          <w:sz w:val="24"/>
          <w:szCs w:val="24"/>
        </w:rPr>
        <w:t xml:space="preserve">Esta recomendación puede operativizarse con las categorías construidas en el Capítulo 3, donde la calidad del engagement se definió a partir de la naturaleza de las interacciones —si expresan identificación, burla, curiosidad o indiferencia— y no solo de su volumen. El matiz aportado por la encuesta vuelve esta evaluación aún más necesaria: dado que la reacción más frecuente ante el error es el retiro silencioso de la atención, las métricas convencionales pueden no registrar el deterioro de la percepción hasta que es tarde, porque el daño principal no se manifiesta en comentarios negativos sino en ausencia de interacción. La condición de aplicación es, por lo tanto, incorporar la escucha cualitativa como práctica permanente —una netnografía aplicada a la propia comunidad— capaz de leer el tono de las conversaciones y no solo de contar sus ocurrencias.</w:t>
      </w:r>
    </w:p>
    <w:p>
      <w:pPr>
        <w:pStyle w:val="Heading2"/>
        <w:spacing w:after="140" w:before="220"/>
      </w:pPr>
      <w:r>
        <w:rPr>
          <w:rFonts w:ascii="Times New Roman" w:cs="Times New Roman" w:eastAsia="Times New Roman" w:hAnsi="Times New Roman"/>
          <w:b/>
          <w:bCs/>
          <w:sz w:val="26"/>
          <w:szCs w:val="26"/>
        </w:rPr>
        <w:t xml:space="preserve">5.5 Recomendaciones finales para la práctica profesional</w:t>
      </w:r>
    </w:p>
    <w:p>
      <w:pPr>
        <w:spacing w:after="160" w:line="360"/>
        <w:jc w:val="both"/>
      </w:pPr>
      <w:r>
        <w:rPr>
          <w:rFonts w:ascii="Times New Roman" w:cs="Times New Roman" w:eastAsia="Times New Roman" w:hAnsi="Times New Roman"/>
          <w:sz w:val="24"/>
          <w:szCs w:val="24"/>
        </w:rPr>
        <w:t xml:space="preserve">La síntesis de los lineamientos anteriores permite formular recomendaciones finales para la práctica profesional. La primera es que la decisión de adoptar el lenguaje de la Generación Z debe estar precedida por un diagnóstico honesto de la identidad y la trayectoria de la marca: solo las marcas con una identidad coherente y un punto de anclaje cultural propio están en condiciones de incorporar códigos generacionales sin que esa incorporación sea percibida como impostura. La segunda es que la comprensión cultural debe preceder a la ejecución: ningún recurso expresivo compensa la falta de entendimiento del código que se utiliza. La tercera es que la estructura organizacional debe acompañar la estrategia, otorgando autonomía a los equipos y tiempos de decisión compatibles con la velocidad de las plataformas.</w:t>
      </w:r>
    </w:p>
    <w:p>
      <w:pPr>
        <w:spacing w:after="160" w:line="360"/>
        <w:jc w:val="both"/>
      </w:pPr>
      <w:r>
        <w:rPr>
          <w:rFonts w:ascii="Times New Roman" w:cs="Times New Roman" w:eastAsia="Times New Roman" w:hAnsi="Times New Roman"/>
          <w:sz w:val="24"/>
          <w:szCs w:val="24"/>
        </w:rPr>
        <w:t xml:space="preserve">Estas tres recomendaciones guardan entre sí un orden lógico que conviene explicitar, porque su aplicación aislada compromete el resultado. El diagnóstico identitario es la condición de posibilidad de las demás: sin una identidad definida no hay criterio para evaluar qué códigos pueden incorporarse ni para delegar decisiones en los equipos. La comprensión cultural es la condición de pertinencia: convierte la identidad en participaciones concretas, eligiendo en qué conversaciones la marca tiene algo que aportar. Y la adecuación organizacional es la condición de ejecución: sin autonomía y tiempos compatibles con las plataformas, las dos condiciones anteriores no llegan a materializarse, porque la pieza correcta publicada tarde es ya una pieza incorrecta. Cada recomendación corresponde, además, a un nivel distinto de la organización —la dirección de marca, los equipos creativos y la estructura de procesos—, de modo que el conjunto interpela a la organización completa y no solo al área de redes sociales, en línea con la evaluación holística con que esta audiencia juzga a las marcas.</w:t>
      </w:r>
    </w:p>
    <w:p>
      <w:pPr>
        <w:spacing w:after="160" w:line="360"/>
        <w:jc w:val="both"/>
      </w:pPr>
      <w:r>
        <w:rPr>
          <w:rFonts w:ascii="Times New Roman" w:cs="Times New Roman" w:eastAsia="Times New Roman" w:hAnsi="Times New Roman"/>
          <w:sz w:val="24"/>
          <w:szCs w:val="24"/>
        </w:rPr>
        <w:t xml:space="preserve">A estas tres recomendaciones cabe agregar una cuarta, transversal: la evaluación continua de la calidad del vínculo. Dado que el rechazo opera mayoritariamente como retiro silencioso, la práctica profesional debe dotarse de instancias sistemáticas de escucha que permitan detectar el deterioro antes de que se vuelva visible; y dado que los códigos se renuevan a la velocidad descripta por Crystal (2008), ninguna comprensión cultural adquirida es definitiva. El conjunto de lineamientos responde, así, al objetivo general del Proyecto de Graduación: no prescribe cómo imitar un caso exitoso, sino bajo qué condiciones el uso del lenguaje de la Generación Z construye autenticidad percibida en lugar de riesgo de rechazo.</w:t>
      </w:r>
    </w:p>
    <w:p>
      <w:pPr>
        <w:spacing w:after="160" w:line="360"/>
        <w:jc w:val="both"/>
      </w:pPr>
      <w:r>
        <w:rPr>
          <w:rFonts w:ascii="Times New Roman" w:cs="Times New Roman" w:eastAsia="Times New Roman" w:hAnsi="Times New Roman"/>
          <w:sz w:val="24"/>
          <w:szCs w:val="24"/>
        </w:rPr>
        <w:t xml:space="preserve">Una advertencia atraviesa estas recomendaciones, proveniente tanto del marco teórico como del testimonio profesional: el fenómeno se encuentra en un momento de saturación. La audiencia identifica con creciente rapidez el mecanismo detrás del contenido, y cuando una marca hace algo y lo primero que la audiencia piensa es que se trata de su intento de imitar al referente, la estrategia ya fracasó. De ello se desprende que la única estrategia sostenible no es copiar lo que funcionó para otras marcas, sino construir algo propio. La replicabilidad del caso analizado se limita, por lo tanto, a sus principios —coherencia, comprensión cultural, autonomía y construcción de relación— y no a su ejecución, irrepetible por definición. La práctica profesional debe asumir, además, la dimensión ética que el análisis reveló como inseparable de la eficacia: el uso del lenguaje generacional interviene en un sistema de significados que una comunidad ha construido colectivamente, y esa intervención exige respeto, comprensión y coherencia.</w:t>
      </w:r>
    </w:p>
    <w:p>
      <w:pPr>
        <w:spacing w:after="160" w:line="360"/>
        <w:jc w:val="both"/>
      </w:pPr>
      <w:r>
        <w:rPr>
          <w:rFonts w:ascii="Times New Roman" w:cs="Times New Roman" w:eastAsia="Times New Roman" w:hAnsi="Times New Roman"/>
          <w:sz w:val="24"/>
          <w:szCs w:val="24"/>
        </w:rPr>
        <w:t xml:space="preserve">La advertencia sobre la saturación merece un desarrollo adicional porque modifica las condiciones de aplicación de todos los lineamientos anteriores. En los términos de Shifman (2014), los códigos digitales se desgastan con su circulación: cada nueva marca que adopta una fórmula reduce su capacidad de señalar pertenencia y aumenta su legibilidad como técnica. Esto implica que las estrategias documentadas —incluida la del referente— tienen fecha de caducidad en su forma, aunque no en sus principios, y que la ventana de eficacia de cualquier imitación es cada vez más estrecha. La saturación no invalida los lineamientos: los radicaliza, porque vuelve aún más determinante la diferencia entre las marcas que construyeron una posición cultural propia y las que replican posiciones ajenas.</w:t>
      </w:r>
    </w:p>
    <w:p>
      <w:pPr>
        <w:spacing w:after="160" w:line="360"/>
        <w:jc w:val="both"/>
      </w:pPr>
      <w:r>
        <w:rPr>
          <w:rFonts w:ascii="Times New Roman" w:cs="Times New Roman" w:eastAsia="Times New Roman" w:hAnsi="Times New Roman"/>
          <w:sz w:val="24"/>
          <w:szCs w:val="24"/>
        </w:rPr>
        <w:t xml:space="preserve">El cierre del capítulo retoma, por último, la articulación entre eficacia y ética que atraviesa todo el análisis. La coherencia entre discurso y práctica no es solo una exigencia moral externa a la estrategia: es, como demostró el campo, una condición de su funcionamiento, porque la audiencia evalúa ambas dimensiones en un mismo acto de percepción. En este sentido, los lineamientos formulados no ofrecen un atajo hacia la Generación Z sino lo contrario: la constatación de que no hay atajo, y de que la única vía sostenible hacia esa audiencia es la construcción paciente de una identidad, una comprensión y una relación que merezcan su atención.</w:t>
      </w:r>
    </w:p>
    <w:p>
      <w:pPr>
        <w:pStyle w:val="Heading1"/>
        <w:spacing w:after="200" w:before="280"/>
      </w:pPr>
      <w:r>
        <w:rPr>
          <w:rFonts w:ascii="Times New Roman" w:cs="Times New Roman" w:eastAsia="Times New Roman" w:hAnsi="Times New Roman"/>
          <w:b/>
          <w:bCs/>
          <w:sz w:val="30"/>
          <w:szCs w:val="30"/>
        </w:rPr>
        <w:t xml:space="preserve">Conclusiones</w:t>
      </w:r>
    </w:p>
    <w:p>
      <w:pPr>
        <w:spacing w:after="160" w:line="360"/>
        <w:jc w:val="both"/>
      </w:pPr>
      <w:r>
        <w:rPr>
          <w:rFonts w:ascii="Times New Roman" w:cs="Times New Roman" w:eastAsia="Times New Roman" w:hAnsi="Times New Roman"/>
          <w:sz w:val="24"/>
          <w:szCs w:val="24"/>
        </w:rPr>
        <w:t xml:space="preserve">El presente Proyecto de Graduación se propuso analizar de qué manera el uso del lenguaje de la Generación Z en la comunicación de marca influye en la percepción de autenticidad y en el riesgo de rechazo por parte de las audiencias jóvenes en entornos digitales. A lo largo de cinco capítulos se construyó un marco teórico que articuló el lenguaje generacional como construcción cultural, la transformación digital de la comunicación publicitaria, el tono de marca, la autenticidad como capital simbólico y el fenómeno del cringe marketing; se caracterizó a la Generación Z como sujeto cultural; se delimitaron y operacionalizaron las variables; se presentó a Duolingo como referente empírico; y se desarrolló un trabajo de campo que trianguló una ficha de análisis de contenido con netnografía integrada, una encuesta a ciento dos usuarios de la Generación Z y una entrevista a una informante clave del sector creativo. Estas conclusiones retoman la pregunta problema y los objetivos planteados en la introducción para evaluar en qué medida fueron alcanzados.</w:t>
      </w:r>
    </w:p>
    <w:p>
      <w:pPr>
        <w:spacing w:after="160" w:line="360"/>
        <w:jc w:val="both"/>
      </w:pPr>
      <w:r>
        <w:rPr>
          <w:rFonts w:ascii="Times New Roman" w:cs="Times New Roman" w:eastAsia="Times New Roman" w:hAnsi="Times New Roman"/>
          <w:sz w:val="24"/>
          <w:szCs w:val="24"/>
        </w:rPr>
        <w:t xml:space="preserve">Corresponde precisar, en primer lugar, el carácter de estas conclusiones. No se trata de un resumen de lo desarrollado —ejercicio que duplicaría innecesariamente los capítulos precedentes— sino de una síntesis crítica que evalúa la correspondencia entre lo que el proyecto se propuso y lo que efectivamente produjo, siguiendo el criterio según el cual la validez de una investigación reside en la coherencia entre sus objetivos, sus variables y sus instrumentos (Sautu, 2005). Por ello, el recorrido que sigue no reproduce los hallazgos sino que los pone a dialogar con la pregunta problema, la hipótesis y los objetivos; explicita los matices que el campo introdujo respecto de lo anticipado por la teoría; delimita el alcance de lo concluido; y proyecta las líneas que el trabajo deja abiertas. Ese orden no es casual: reproduce la lógica de trazabilidad que orientó todo el proyecto, según la cual debe poder reconstruirse cómo se llegó a cada conclusión y sobre qué evidencia se sostiene.</w:t>
      </w:r>
    </w:p>
    <w:p>
      <w:pPr>
        <w:spacing w:after="160" w:line="360"/>
        <w:jc w:val="both"/>
      </w:pPr>
      <w:r>
        <w:rPr>
          <w:rFonts w:ascii="Times New Roman" w:cs="Times New Roman" w:eastAsia="Times New Roman" w:hAnsi="Times New Roman"/>
          <w:sz w:val="24"/>
          <w:szCs w:val="24"/>
        </w:rPr>
        <w:t xml:space="preserve">Ese balance puede anticiparse recordando la función que cada tramo del recorrido cumplió en la economía del conjunto. Los dos primeros capítulos construyeron el sistema conceptual —el lenguaje generacional como construcción cultural y la Generación Z como sujeto que lo produce—, sin el cual los datos del campo habrían resultado ilegibles; el tercero tradujo ese sistema en variables, dimensiones e indicadores, y lo ancló en un referente observable; el cuarto lo sometió al contraste con la evidencia; y el quinto lo devolvió al campo profesional en forma de lineamientos. Las conclusiones que siguen no son, por lo tanto, el agregado final de un trabajo terminado, sino el punto en el que ese circuito se cierra sobre su pregunta inicial.</w:t>
      </w:r>
    </w:p>
    <w:p>
      <w:pPr>
        <w:spacing w:after="160" w:line="360"/>
        <w:jc w:val="both"/>
      </w:pPr>
      <w:r>
        <w:rPr>
          <w:rFonts w:ascii="Times New Roman" w:cs="Times New Roman" w:eastAsia="Times New Roman" w:hAnsi="Times New Roman"/>
          <w:sz w:val="24"/>
          <w:szCs w:val="24"/>
        </w:rPr>
        <w:t xml:space="preserve">En respuesta a la pregunta problema, el trabajo permite concluir que el uso del lenguaje de la Generación Z influye de manera decisiva en la percepción de autenticidad y en el riesgo de rechazo, pero siempre de forma mediada por dos condiciones: la coherencia identitaria y la comprensión cultural genuina. La evidencia recolectada confirma que el lenguaje generacional, por sí solo, no garantiza conexión: cuando se apoya en esas dos condiciones, construye autenticidad, cercanía y engagement participativo; cuando carece de ellas, produce cringe, distancia y rechazo. De este modo, queda comprobada la hipótesis formulada en la introducción, según la cual el uso superficial, imitativo o descontextualizado del lenguaje generacional genera rechazo, mientras que el sustentado en una comprensión genuina de los códigos y valores de la generación favorece la conexión y la relevancia cultural.</w:t>
      </w:r>
    </w:p>
    <w:p>
      <w:pPr>
        <w:spacing w:after="160" w:line="360"/>
        <w:jc w:val="both"/>
      </w:pPr>
      <w:r>
        <w:rPr>
          <w:rFonts w:ascii="Times New Roman" w:cs="Times New Roman" w:eastAsia="Times New Roman" w:hAnsi="Times New Roman"/>
          <w:sz w:val="24"/>
          <w:szCs w:val="24"/>
        </w:rPr>
        <w:t xml:space="preserve">La noción de mediación que organiza esta respuesta merece desarrollarse, porque constituye el hallazgo conceptual central del trabajo. Afirmar que la relación entre el uso del lenguaje generacional y la percepción de autenticidad está mediada significa que la variable independiente no opera de manera directa ni uniforme: el mismo recurso —un meme, una jerga, un formato viral— produce efectos opuestos según las condiciones que lo acompañan. La coherencia identitaria funciona como condición estructural, verificable en el historial completo de la marca y no en la pieza aislada; la comprensión cultural genuina funciona como condición situacional, que se actualiza en cada decisión concreta de participación. Esta formulación es más precisa que la pregunta inicial por la influencia del lenguaje, porque desplaza el problema desde el recurso hacia sus condiciones de uso: lo que la evidencia muestra no es que el lenguaje generacional funcione o falle en sí mismo, sino que funciona cuando está sostenido por esas condiciones y falla cuando carece de ellas. El fundamento de esa precisión reside en la convergencia de las tres tradiciones teóricas que el marco articuló: la autenticidad como construcción social resultante de la coherencia percibida entre lo que la marca declara, hace y comunica (Banet-Weiser, 2012); la legitimidad como atributo que las comunidades negocian y otorgan, antes que como cualidad que los actores corporativos puedan autoadjudicarse (Castells, 2015); y el lenguaje como práctica social e ideológica inseparable de sus contextos de circulación (Fairclough, 2003).</w:t>
      </w:r>
    </w:p>
    <w:p>
      <w:pPr>
        <w:spacing w:after="160" w:line="360"/>
        <w:jc w:val="both"/>
      </w:pPr>
      <w:r>
        <w:rPr>
          <w:rFonts w:ascii="Times New Roman" w:cs="Times New Roman" w:eastAsia="Times New Roman" w:hAnsi="Times New Roman"/>
          <w:sz w:val="24"/>
          <w:szCs w:val="24"/>
        </w:rPr>
        <w:t xml:space="preserve">La confirmación de la hipótesis debe registrar, asimismo, los dos matices que el campo introdujo respecto de su formulación original. El primero concierne a la forma del rechazo: la hipótesis anticipaba que el uso superficial o descontextualizado genera rechazo y percepciones de cringe, y la evidencia lo confirma, pero precisa que ese rechazo adopta predominantemente la forma de un retiro silencioso de la atención y solo en su expresión extrema la de la viralización irónica, lo que vuelve al fenómeno menos visible y, por eso, más difícil de gestionar para las marcas. El segundo matiz concierne al sujeto: la pertinencia cultural no es absoluta sino relativa a comunidades específicas, dado que la Generación Z no constituye un bloque homogéneo sino un entramado de subculturas con códigos propios, tal como advirtieron Muggleton (2000) y Bennett (2011) y como evidenció el análisis de la pieza construida sobre un código de pertenencia específico. Ambos matices no debilitan la hipótesis: la vuelven más exacta, que es precisamente lo que un trabajo de campo debe hacer con una formulación teórica —no solo confirmarla o refutarla, sino devolverla más ajustada a la complejidad del fenómeno que pretende explicar—. Cabe añadir que ambos matices poseen valor práctico además de teórico: el primero advierte que la ausencia de sanción visible no equivale a ausencia de daño, y el segundo, que ninguna estrategia puede dirigirse a la Generación Z como totalidad sin verificar su pertinencia en la comunidad específica que pretende interpelar.</w:t>
      </w:r>
    </w:p>
    <w:p>
      <w:pPr>
        <w:spacing w:after="160" w:line="360"/>
        <w:jc w:val="both"/>
      </w:pPr>
      <w:r>
        <w:rPr>
          <w:rFonts w:ascii="Times New Roman" w:cs="Times New Roman" w:eastAsia="Times New Roman" w:hAnsi="Times New Roman"/>
          <w:sz w:val="24"/>
          <w:szCs w:val="24"/>
        </w:rPr>
        <w:t xml:space="preserve">El cumplimiento del objetivo general —analizar el uso del lenguaje de la Generación Z en la comunicación de marca y su impacto en la percepción de autenticidad y rechazo— se verifica en la interpretación integrada del Capítulo 4, que estableció la relación entre la variable independiente y la dependiente en términos de mediación y la sostuvo sobre la convergencia de las tres fuentes de evidencia. El análisis no se limitó a describir el fenómeno, sino que precisó las condiciones bajo las cuales el uso del lenguaje generacional produce uno u otro efecto, lo que constituye el aporte central del trabajo.</w:t>
      </w:r>
    </w:p>
    <w:p>
      <w:pPr>
        <w:spacing w:after="160" w:line="360"/>
        <w:jc w:val="both"/>
      </w:pPr>
      <w:r>
        <w:rPr>
          <w:rFonts w:ascii="Times New Roman" w:cs="Times New Roman" w:eastAsia="Times New Roman" w:hAnsi="Times New Roman"/>
          <w:sz w:val="24"/>
          <w:szCs w:val="24"/>
        </w:rPr>
        <w:t xml:space="preserve">Conviene subrayar que este cumplimiento no se limitó a verificar la existencia de la relación entre las variables, sino que la cualificó: el trabajo estableció la dirección de la relación, identificó sus condiciones mediadoras y describió los mecanismos a través de los cuales opera en cada plano —la verificación tácita de competencia cultural en la recepción, los procesos de decisión y aprobación en la producción y la construcción concreta de cada pieza en la circulación—. En ese sentido, el alcance correlacional definido en el diseño se cumplió en su sentido más productivo: no la mera constatación de que dos variables se relacionan, sino la comprensión fundamentada de por qué y bajo qué condiciones lo hacen. Esa cualificación es, además, la que vuelve útiles los resultados: una correlación sin condiciones no orientaría ninguna decisión, mientras que una relación con condiciones identificadas permite anticipar, para cada caso concreto, de qué lado del fenómeno es probable que caiga una estrategia.</w:t>
      </w:r>
    </w:p>
    <w:p>
      <w:pPr>
        <w:spacing w:after="160" w:line="360"/>
        <w:jc w:val="both"/>
      </w:pPr>
      <w:r>
        <w:rPr>
          <w:rFonts w:ascii="Times New Roman" w:cs="Times New Roman" w:eastAsia="Times New Roman" w:hAnsi="Times New Roman"/>
          <w:sz w:val="24"/>
          <w:szCs w:val="24"/>
        </w:rPr>
        <w:t xml:space="preserve">En cuanto a los objetivos específicos, cada uno encuentra correlato en un resultado concreto. El primero —identificar los principales rasgos del lenguaje de la Generación Z en plataformas digitales— se cumplió a través del análisis de contenido, que relevó la jerga, los memes, la ironía, la síntesis y la hiperreferencialidad como rasgos centrales, y a través de la encuesta, que verificó la alta competencia de detección de la audiencia. El segundo —analizar cómo las marcas adaptan su tono y sus códigos— se alcanzó mediante la entrevista y el análisis del referente, que evidenciaron la adaptación con voz propia y la coherencia identitaria como claves de la adaptación lograda. El tercero —examinar la relación entre autenticidad percibida, uso del lenguaje y riesgo de rechazo— constituyó el núcleo del trabajo y se resolvió en la triangulación, que confirmó la mediación de la coherencia y la comprensión cultural. El cuarto —relevar casos efectivos y forzados— se cumplió a partir de los casos fallidos identificados por los encuestados y del contraste con el referente. El quinto —estudiar el caso de Duolingo como referente de una apropiación efectiva— se desarrolló en el análisis netnográfico de sus piezas y en la lectura profesional de su estrategia.</w:t>
      </w:r>
    </w:p>
    <w:p>
      <w:pPr>
        <w:spacing w:after="160" w:line="360"/>
        <w:jc w:val="both"/>
      </w:pPr>
      <w:r>
        <w:rPr>
          <w:rFonts w:ascii="Times New Roman" w:cs="Times New Roman" w:eastAsia="Times New Roman" w:hAnsi="Times New Roman"/>
          <w:sz w:val="24"/>
          <w:szCs w:val="24"/>
        </w:rPr>
        <w:t xml:space="preserve">El detalle de ese cumplimiento permite apreciar la función que cada objetivo desempeñó en la arquitectura del trabajo. El primer objetivo específico aportó la base descriptiva: la caracterización del lenguaje generacional como sistema multimodal, irónico, sintético e hiperreferencial —construida teóricamente en el Capítulo 2 y verificada en las piezas del referente— resultó indispensable para que los instrumentos pudieran distinguir entre usos pertinentes y fallidos, y el dato de la capacidad de detección de la audiencia confirmó que ese sistema opera efectivamente como mecanismo de demarcación cultural y no como mero repertorio estilístico. El segundo objetivo introdujo la dimensión de la producción, menos frecuentada por los antecedentes relevados: la entrevista permitió comprender que las decisiones de tono no se toman en el vacío sino dentro de estructuras organizacionales cuyas dinámicas de aprobación y control explican buena parte de los errores que la audiencia sanciona, hallazgo que desplaza la explicación del cringe desde la incompetencia individual hacia las condiciones institucionales de producción.</w:t>
      </w:r>
    </w:p>
    <w:p>
      <w:pPr>
        <w:spacing w:after="160" w:line="360"/>
        <w:jc w:val="both"/>
      </w:pPr>
      <w:r>
        <w:rPr>
          <w:rFonts w:ascii="Times New Roman" w:cs="Times New Roman" w:eastAsia="Times New Roman" w:hAnsi="Times New Roman"/>
          <w:sz w:val="24"/>
          <w:szCs w:val="24"/>
        </w:rPr>
        <w:t xml:space="preserve">El tercer objetivo, núcleo analítico del proyecto, encontró en la triangulación su forma de resolución: la relación entre autenticidad percibida, uso del lenguaje y riesgo de rechazo no podía establecerse desde una única fuente, y fue precisamente la convergencia entre la percepción declarada de la audiencia, la evidencia observacional de las piezas y el testimonio profesional la que permitió formularla en términos de mediación. A ello se agregó la verificación de su incidencia conductual: la proporción de encuestados que abandonó o consideró abandonar marcas por comunicación forzada y el peso que la muestra asignó a la forma de comunicar en sus decisiones de consumo demuestran que la percepción de autenticidad no es una evaluación estética sin consecuencias, sino un factor con efectos sobre el comportamiento. Este resultado posee una implicancia que excede al proyecto: si la forma de comunicar incide en la decisión de consumir o recomendar, entonces la gestión del lenguaje no pertenece al territorio de los detalles estilísticos sino al de las decisiones estratégicas con consecuencias económicas.</w:t>
      </w:r>
    </w:p>
    <w:p>
      <w:pPr>
        <w:spacing w:after="160" w:line="360"/>
        <w:jc w:val="both"/>
      </w:pPr>
      <w:r>
        <w:rPr>
          <w:rFonts w:ascii="Times New Roman" w:cs="Times New Roman" w:eastAsia="Times New Roman" w:hAnsi="Times New Roman"/>
          <w:sz w:val="24"/>
          <w:szCs w:val="24"/>
        </w:rPr>
        <w:t xml:space="preserve">El cuarto y el quinto objetivo operaron de manera complementaria, como las dos caras de un mismo contraste: los casos fallidos relevados en la encuesta aportaron la tipología del error verificada en la experiencia de la audiencia, y el estudio del referente aportó el caso donde esos errores se evitan de manera sistemática. Esta complementariedad fue metodológicamente productiva porque permitió observar la misma estructura desde sus dos resultados posibles: los errores que los encuestados describieron son, punto por punto, los que el referente no comete, lo que otorga al contraste un valor probatorio que ninguno de los dos polos tendría por separado. El contraste evitó, además, el riesgo de estudiar únicamente el caso exitoso: sin los usos fallidos descriptos por la audiencia, el análisis del referente habría carecido de término de comparación y sus rasgos distintivos habrían resultado invisibles por falta de contraste.</w:t>
      </w:r>
    </w:p>
    <w:p>
      <w:pPr>
        <w:spacing w:after="160" w:line="360"/>
        <w:jc w:val="both"/>
      </w:pPr>
      <w:r>
        <w:rPr>
          <w:rFonts w:ascii="Times New Roman" w:cs="Times New Roman" w:eastAsia="Times New Roman" w:hAnsi="Times New Roman"/>
          <w:sz w:val="24"/>
          <w:szCs w:val="24"/>
        </w:rPr>
        <w:t xml:space="preserve">Considerados en conjunto, los cinco objetivos no se cumplieron de manera aditiva sino articulada: la caracterización del lenguaje habilitó el diseño de los instrumentos, los instrumentos produjeron la evidencia, la evidencia confirmó y matizó las regularidades, y las regularidades confirmadas fundamentaron los lineamientos. Esa cadena de dependencias es la que permite sostener que el objetivo general no se alcanzó como suma de objetivos parciales, sino como resultado de su integración, y que ninguna de las conclusiones formuladas descansa sobre un eslabón aislado del trabajo.</w:t>
      </w:r>
    </w:p>
    <w:p>
      <w:pPr>
        <w:spacing w:after="160" w:line="360"/>
        <w:jc w:val="both"/>
      </w:pPr>
      <w:r>
        <w:rPr>
          <w:rFonts w:ascii="Times New Roman" w:cs="Times New Roman" w:eastAsia="Times New Roman" w:hAnsi="Times New Roman"/>
          <w:sz w:val="24"/>
          <w:szCs w:val="24"/>
        </w:rPr>
        <w:t xml:space="preserve">Respecto del alcance del estudio, corresponde señalar sus limitaciones. La muestra de la encuesta es no probabilística y de tamaño acotado, por lo que sus resultados son indicativos de tendencias y no estadísticamente generalizables. El análisis de contenido se concentró en un único referente, elegido por su valor paradigmático, lo que aporta profundidad pero restringe la diversidad de casos. La entrevista, al basarse en una única informante clave, ofrece una perspectiva situada antes que una representación del sector. Estas limitaciones, propias de un diseño cualitativo de alcance correlacional, delimitan el horizonte de las conclusiones sin invalidar su consistencia interna, sostenida por la convergencia de las tres fuentes.</w:t>
      </w:r>
    </w:p>
    <w:p>
      <w:pPr>
        <w:spacing w:after="160" w:line="360"/>
        <w:jc w:val="both"/>
      </w:pPr>
      <w:r>
        <w:rPr>
          <w:rFonts w:ascii="Times New Roman" w:cs="Times New Roman" w:eastAsia="Times New Roman" w:hAnsi="Times New Roman"/>
          <w:sz w:val="24"/>
          <w:szCs w:val="24"/>
        </w:rPr>
        <w:t xml:space="preserve">A estas limitaciones cabe agregar una de carácter temporal, constitutiva del objeto estudiado: el trabajo describe el estado de un fenómeno en transformación acelerada, observado en un período acotado y sobre un repertorio de códigos cuya vigencia es, por definición, transitoria. Las piezas analizadas y las tendencias que las sostienen envejecerán con rapidez; no así, cabe sostener, las condiciones de mediación identificadas, que se apoyan en dinámicas estructurales de la cultura digital y no en sus contenidos puntuales. Por la misma razón, el tipo de generalización al que este trabajo puede aspirar no es estadístico sino analítico: sus conclusiones no describen a toda la Generación Z ni a todas las marcas, pero ofrecen un esquema de inteligibilidad —la relación mediada entre lenguaje, coherencia identitaria y comprensión cultural— que puede ponerse a prueba en otros casos, otras plataformas y otros recortes temporales. Asumir estas limitaciones de manera explícita no debilita el trabajo: define con honestidad el territorio dentro del cual sus conclusiones son sostenibles, que es lo máximo que un diseño de estas características puede y debe ofrecer.</w:t>
      </w:r>
    </w:p>
    <w:p>
      <w:pPr>
        <w:spacing w:after="160" w:line="360"/>
        <w:jc w:val="both"/>
      </w:pPr>
      <w:r>
        <w:rPr>
          <w:rFonts w:ascii="Times New Roman" w:cs="Times New Roman" w:eastAsia="Times New Roman" w:hAnsi="Times New Roman"/>
          <w:sz w:val="24"/>
          <w:szCs w:val="24"/>
        </w:rPr>
        <w:t xml:space="preserve">El aporte disciplinar del trabajo radica en haber abordado el lenguaje de la Generación Z no como un recurso estilístico, sino como un sistema semiótico e ideológico cuya apropiación por parte de las marcas produce efectos específicos sobre la percepción de autenticidad y la legitimidad cultural. Frente a un estado del arte que tematizaba la autenticidad, el contenido generado por usuarios o la lógica de plataformas sin tomar el lenguaje generacional como objeto central, este Proyecto de Graduación propuso una lectura que sitúa la coherencia identitaria y la comprensión cultural como condiciones mediadoras del éxito comunicacional. Desde la perspectiva de la publicidad, este hallazgo permite entender que la participación de las marcas en la cultura de la Generación Z no se resuelve en el plano del lenguaje, sino en el de la relación.</w:t>
      </w:r>
    </w:p>
    <w:p>
      <w:pPr>
        <w:spacing w:after="160" w:line="360"/>
        <w:jc w:val="both"/>
      </w:pPr>
      <w:r>
        <w:rPr>
          <w:rFonts w:ascii="Times New Roman" w:cs="Times New Roman" w:eastAsia="Times New Roman" w:hAnsi="Times New Roman"/>
          <w:sz w:val="24"/>
          <w:szCs w:val="24"/>
        </w:rPr>
        <w:t xml:space="preserve">Esa vacancia, detectada en la lectura articulada de los diez Proyectos de Graduación relevados como antecedentes, define el lugar preciso del aporte. Los trabajos previos habían iluminado dimensiones contiguas del fenómeno —la credibilidad del contenido generado por usuarios en Ramazzini (2025) y Lerner (2025), la autenticidad como coherencia sostenida en el tiempo en Sabadin (2025), la coherencia entre discurso y práctica corporativa en Bagnati (2025)—, pero en todos ellos el lenguaje aparecía como un elemento subordinado a estrategias más amplias. Al tomarlo como objeto central, este proyecto pudo verificar empíricamente intuiciones que los antecedentes habían formulado de manera lateral: que la línea entre lo genuino y lo impostado no la traza la intención comercial sino la comprensión cultural, como sugería Lerner (2025); que la autenticidad es una historia y no un atributo activable, como mostraba Sabadin (2025); y que la coherencia estructural entre discurso y práctica es condición de legitimidad, como demostraba Bagnati (2025). La contribución específica de este PG consiste en haber articulado esas piezas dispersas en un modelo único de mediación, sostenido sobre evidencia de campo propia.</w:t>
      </w:r>
    </w:p>
    <w:p>
      <w:pPr>
        <w:spacing w:after="160" w:line="360"/>
        <w:jc w:val="both"/>
      </w:pPr>
      <w:r>
        <w:rPr>
          <w:rFonts w:ascii="Times New Roman" w:cs="Times New Roman" w:eastAsia="Times New Roman" w:hAnsi="Times New Roman"/>
          <w:sz w:val="24"/>
          <w:szCs w:val="24"/>
        </w:rPr>
        <w:t xml:space="preserve">El aporte posee también una dimensión metodológica que cabe explicitar: la operacionalización del lenguaje generacional en dimensiones, categorías e indicadores observables —el tono y registro, la apropiación de códigos y la coherencia identitaria, con sus correlatos en la variable dependiente— ofrece una herramienta replicable para futuros análisis del fenómeno, construida sobre el marco teórico y ajustada en su contraste con el campo. Para la práctica profesional, finalmente, el trabajo desplaza la pregunta operativa que suele organizar los encargos: de cómo hablar como la Generación Z —pregunta que, según evidenció la entrevista, los propios clientes formulan sin entender qué piden— a qué relación construir con ella para que hablar tenga sentido. Ese desplazamiento, fundado en evidencia y no en intuición, es quizás la traducción más útil del trabajo al campo de la publicidad: en una disciplina que tiende a buscar fórmulas, la conclusión de que no hay fórmula sino condiciones constituye, en sí misma, un aporte.</w:t>
      </w:r>
    </w:p>
    <w:p>
      <w:pPr>
        <w:spacing w:after="160" w:line="360"/>
        <w:jc w:val="both"/>
      </w:pPr>
      <w:r>
        <w:rPr>
          <w:rFonts w:ascii="Times New Roman" w:cs="Times New Roman" w:eastAsia="Times New Roman" w:hAnsi="Times New Roman"/>
          <w:sz w:val="24"/>
          <w:szCs w:val="24"/>
        </w:rPr>
        <w:t xml:space="preserve">Finalmente, el trabajo abre líneas de investigación futuras. Resultaría productivo ampliar el análisis a un corpus comparativo que incluya casos de apropiación fallida documentados en profundidad, de modo de contrastar empíricamente los indicadores del cringe; extender el estudio a otras generaciones y plataformas emergentes para evaluar la transferibilidad de las conclusiones; y profundizar, mediante muestras representativas, la medición de la relación entre la percepción de autenticidad y las decisiones concretas de consumo. La dinámica de saturación advertida en el trabajo de campo sugiere, además, que el fenómeno se encuentra en transformación, lo que vuelve pertinente su seguimiento a lo largo del tiempo. En un contexto donde las marcas buscan formar parte de la cultura y no solo interrumpirla, comprender el lenguaje como práctica cultural —y no como mero recurso— constituye la condición para construir discursos capaces de conectar con la Generación Z sin caer en la caricatura, el oportunismo o el rechazo.</w:t>
      </w:r>
    </w:p>
    <w:p>
      <w:pPr>
        <w:spacing w:after="160" w:line="360"/>
        <w:jc w:val="both"/>
      </w:pPr>
      <w:r>
        <w:rPr>
          <w:rFonts w:ascii="Times New Roman" w:cs="Times New Roman" w:eastAsia="Times New Roman" w:hAnsi="Times New Roman"/>
          <w:sz w:val="24"/>
          <w:szCs w:val="24"/>
        </w:rPr>
        <w:t xml:space="preserve">Las líneas de investigación enunciadas pueden precisarse en función de las limitaciones que cada una busca superar. El corpus comparativo de casos fallidos documentados en profundidad respondería a la principal asimetría de este trabajo, que analizó el polo exitoso del fenómeno mediante observación directa y el polo fallido a través de la memoria y la percepción de los encuestados: un análisis de contenido aplicado con la misma ficha a piezas de cringe permitiría verificar si los indicadores operacionalizados distinguen efectivamente ambos polos. La extensión a otras generaciones permitiría establecer si la mediación identificada es específica de la Generación Z —cuya competencia de detección se apoya en la hiperreferencialidad de sus códigos— o si constituye una dinámica general de las audiencias digitales. La medición mediante muestras representativas, por su parte, convertiría en generalizables las tendencias que este trabajo solo pudo señalar como indicativas, y habilitaría el análisis estadístico de la relación entre autenticidad percibida y comportamiento de consumo que el alcance de este diseño no permitió. Finalmente, el seguimiento del fenómeno a lo largo del tiempo se justifica en la dinámica de saturación que el propio campo registró: si la eficacia de las estrategias observadas depende de códigos en transformación, la vigencia de los hallazgos debe revisarse periódicamente, y esa revisión constituye en sí misma un objeto de investigación.</w:t>
      </w:r>
    </w:p>
    <w:p>
      <w:pPr>
        <w:spacing w:after="160" w:line="360"/>
        <w:jc w:val="both"/>
      </w:pPr>
      <w:r>
        <w:rPr>
          <w:rFonts w:ascii="Times New Roman" w:cs="Times New Roman" w:eastAsia="Times New Roman" w:hAnsi="Times New Roman"/>
          <w:sz w:val="24"/>
          <w:szCs w:val="24"/>
        </w:rPr>
        <w:t xml:space="preserve">Existe, además, una línea emergente que el trabajo no anticipó en su diseño y que el campo volvió visible: la dimensión organizacional de la comunicación digital. La identificación de los procesos de aprobación y control como causa estructural del uso tardío de tendencias sugiere que una parte sustantiva del éxito o del fracaso comunicacional se decide antes de la instancia creativa, en la arquitectura de decisiones de las organizaciones. Un estudio centrado en esa dimensión —que compare estructuras, tiempos y grados de autonomía de los equipos de redes en distintos tipos de organización— complementaría la perspectiva de este proyecto, centrada en la pieza, la recepción y el criterio profesional, con el eslabón que las articula. Esa línea dialogaría, además, con la cuestión de la confianza entre cliente y agencia que la informante clave situó en el centro del problema del timing, territorio casi inexplorado en los antecedentes relevados.</w:t>
      </w:r>
    </w:p>
    <w:p>
      <w:pPr>
        <w:spacing w:after="160" w:line="360"/>
        <w:jc w:val="both"/>
      </w:pPr>
      <w:r>
        <w:rPr>
          <w:rFonts w:ascii="Times New Roman" w:cs="Times New Roman" w:eastAsia="Times New Roman" w:hAnsi="Times New Roman"/>
          <w:sz w:val="24"/>
          <w:szCs w:val="24"/>
        </w:rPr>
        <w:t xml:space="preserve">El título de este Proyecto de Graduación condensaba, ya desde el inicio, la tensión que el trabajo terminó de precisar: las marcas también quieren ser de la Generación Z, y el riesgo de hablar un idioma que no es propio resultó ser exactamente eso —un riesgo, no una imposibilidad ni una garantía—. El recorrido realizado permite formular esa tensión con mayor exactitud: el idioma puede aprenderse, pero no puede fingirse, porque la comunidad que lo creó conserva el poder de reconocer a sus hablantes y de señalar a sus impostores. Las marcas que comprendan esta diferencia —entre aprender una cultura y disfrazarse de ella, entre participar de una conversación y extraer valor de ella, entre construir una relación y simular una cercanía— encontrarán en la Generación Z una audiencia dispuesta a concederles un lugar en su cultura. Las que no la comprendan seguirán alimentando, con cada intento, el archivo de casos que esa misma audiencia conserva, con ironía y memoria digital, como evidencia de que su idioma no se deja hablar por cualquiera.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2026-06-11T05:08:22.786Z</dcterms:created>
  <dcterms:modified xsi:type="dcterms:W3CDTF">2026-06-11T05:08:22.805Z</dcterms:modified>
</cp:coreProperties>
</file>

<file path=docProps/custom.xml><?xml version="1.0" encoding="utf-8"?>
<Properties xmlns="http://schemas.openxmlformats.org/officeDocument/2006/custom-properties" xmlns:vt="http://schemas.openxmlformats.org/officeDocument/2006/docPropsVTypes"/>
</file>