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plant manager raises a capital expenditure request for every new asset purchase above INR 50,000. The Finance Controller approves each request before a purchase order is issued. The Procurement team issues the purchase order only after three vendor quotations have been compared. The Stores team receives the asset and checks the delivery against the purchase order. The Accounts Payable team performs a three-way match of purchase order, goods receipt and vendor invoice before payment is released. The Accountant capitalises the asset in the fixed asset register after the invoice is posted. Depreciation is calculated by the ERP system using the useful lives set in the asset master. The Finance Controller reviews the depreciation run each month-end and signs off the journal. A physical verification of all fixed assets is carried out annually and differences are reconciled to the fixed asset register. Asset disposals are approved by the Plant Head before the asset is removed from the register. The fixed asset sub-ledger is reconciled to the general ledger every month-end.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Fixed Assets process narrative (synthetic)</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